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pPr>
              <w:pStyle w:val="8"/>
              <w:spacing w:line="360" w:lineRule="auto"/>
              <w:rPr>
                <w:rFonts w:hint="eastAsia" w:ascii="仿宋" w:hAnsi="仿宋" w:eastAsia="仿宋" w:cs="仿宋"/>
                <w:b/>
                <w:bCs/>
                <w:color w:val="FF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top"/>
          </w:tcPr>
          <w:p>
            <w:pPr>
              <w:ind w:right="284" w:rightChars="129"/>
              <w:jc w:val="center"/>
              <w:rPr>
                <w:rFonts w:hint="eastAsia" w:ascii="宋体" w:hAnsi="宋体" w:eastAsia="宋体" w:cs="宋体"/>
                <w:b/>
                <w:bCs/>
                <w:sz w:val="52"/>
                <w:szCs w:val="52"/>
                <w:lang w:val="en-US" w:eastAsia="zh-CN"/>
              </w:rPr>
            </w:pPr>
            <w:r>
              <w:rPr>
                <w:rFonts w:ascii="宋体" w:hAnsi="宋体" w:eastAsia="宋体" w:cs="宋体"/>
                <w:b/>
                <w:sz w:val="52"/>
              </w:rPr>
              <w:t>2022年度</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江苏省公安厅交通警察总队</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单位决算公开</w:t>
            </w:r>
          </w:p>
        </w:tc>
      </w:tr>
    </w:tbl>
    <w:p>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70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tabs>
          <w:tab w:val="left" w:pos="880"/>
        </w:tabs>
        <w:spacing w:line="718" w:lineRule="exact"/>
        <w:ind w:right="313" w:firstLine="0"/>
        <w:outlineLvl w:val="0"/>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pacing w:before="7" w:after="0"/>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outlineLvl w:val="0"/>
        <w:rPr>
          <w:rFonts w:hint="eastAsia" w:ascii="黑体" w:hAnsi="黑体" w:eastAsia="黑体" w:cs="黑体"/>
          <w:b w:val="0"/>
          <w:bCs w:val="0"/>
        </w:rPr>
      </w:pPr>
      <w:r>
        <w:rPr>
          <w:rFonts w:hint="eastAsia" w:ascii="黑体" w:hAnsi="黑体" w:eastAsia="黑体" w:cs="黑体"/>
          <w:b w:val="0"/>
          <w:bCs w:val="0"/>
        </w:rPr>
        <w:t xml:space="preserve">第一部分 </w:t>
      </w:r>
      <w:r>
        <w:rPr>
          <w:rFonts w:hint="eastAsia" w:ascii="黑体" w:hAnsi="黑体" w:eastAsia="黑体" w:cs="黑体"/>
          <w:b w:val="0"/>
          <w:bCs w:val="0"/>
          <w:lang w:val="en-US" w:eastAsia="zh-CN"/>
        </w:rPr>
        <w:t>单位</w:t>
      </w:r>
      <w:r>
        <w:rPr>
          <w:rFonts w:hint="eastAsia" w:ascii="黑体" w:hAnsi="黑体" w:eastAsia="黑体" w:cs="黑体"/>
          <w:b w:val="0"/>
          <w:bCs w:val="0"/>
        </w:rPr>
        <w:t>概况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机构设置及决算单位构成情况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w:t>
      </w:r>
      <w:r>
        <w:rPr>
          <w:rFonts w:hint="eastAsia" w:ascii="仿宋" w:hAnsi="仿宋" w:eastAsia="仿宋" w:cs="仿宋"/>
          <w:lang w:val="en-US" w:eastAsia="zh-CN"/>
        </w:rPr>
        <w:t>2</w:t>
      </w:r>
      <w:r>
        <w:rPr>
          <w:rFonts w:hint="eastAsia" w:ascii="仿宋" w:hAnsi="仿宋" w:eastAsia="仿宋" w:cs="仿宋"/>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rPr>
      </w:pPr>
      <w:r>
        <w:rPr>
          <w:rFonts w:hint="eastAsia" w:ascii="黑体" w:hAnsi="黑体" w:eastAsia="黑体" w:cs="黑体"/>
          <w:b w:val="0"/>
          <w:bCs w:val="0"/>
          <w:lang w:val="en-US" w:eastAsia="zh-CN"/>
        </w:rPr>
        <w:t>第二部分 2022年度</w:t>
      </w:r>
      <w:r>
        <w:rPr>
          <w:rFonts w:ascii="黑体" w:hAnsi="黑体" w:eastAsia="黑体" w:cs="黑体"/>
        </w:rPr>
        <w:t>单位决算表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spacing w:val="-2"/>
        </w:rPr>
        <w:t>一、收入支出决算总表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rPr>
        <w:t>二、收入决算表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w w:val="95"/>
        </w:rPr>
        <w:t>三、支出决算表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六、财政拨款基本支出决算表（经济科目）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七、一般公共预算支出决算表（功能科目）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eastAsia="zh-CN"/>
        </w:rPr>
        <w:t>财政拨款“三公”经费、会议费和培训费支出决算表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default" w:ascii="仿宋" w:hAnsi="仿宋" w:eastAsia="仿宋" w:cs="仿宋"/>
          <w:lang w:val="en-US" w:eastAsia="zh-CN"/>
        </w:rPr>
      </w:pPr>
      <w:r>
        <w:rPr>
          <w:rFonts w:hint="eastAsia" w:ascii="仿宋" w:hAnsi="仿宋" w:eastAsia="仿宋" w:cs="仿宋"/>
        </w:rPr>
        <w:t>十一、</w:t>
      </w:r>
      <w:r>
        <w:rPr>
          <w:rFonts w:hint="eastAsia" w:ascii="仿宋" w:hAnsi="仿宋" w:eastAsia="仿宋" w:cs="仿宋"/>
          <w:lang w:val="en-US" w:eastAsia="zh-CN"/>
        </w:rPr>
        <w:t>国有资本经营预算支出决算表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w:t>
      </w:r>
      <w:r>
        <w:rPr>
          <w:rFonts w:hint="eastAsia" w:ascii="仿宋" w:hAnsi="仿宋" w:eastAsia="仿宋" w:cs="仿宋"/>
          <w:lang w:val="en-US" w:eastAsia="zh-CN"/>
        </w:rPr>
        <w:t>财政拨款</w:t>
      </w:r>
      <w:r>
        <w:rPr>
          <w:rFonts w:hint="eastAsia" w:ascii="仿宋" w:hAnsi="仿宋" w:eastAsia="仿宋" w:cs="仿宋"/>
        </w:rPr>
        <w:t>机关运行经费支出决算表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第三部分 2022年度</w:t>
      </w:r>
      <w:r>
        <w:rPr>
          <w:rFonts w:ascii="黑体" w:hAnsi="黑体" w:eastAsia="黑体" w:cs="黑体"/>
        </w:rPr>
        <w:t>单位决算情况说明</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default" w:ascii="仿宋" w:hAnsi="仿宋" w:eastAsia="仿宋" w:cs="仿宋"/>
          <w:b/>
          <w:bCs/>
          <w:color w:val="000000"/>
          <w:sz w:val="30"/>
          <w:szCs w:val="30"/>
          <w:lang w:val="en-US" w:eastAsia="zh-CN" w:bidi="ar"/>
        </w:rPr>
      </w:pPr>
      <w:r>
        <w:rPr>
          <w:rFonts w:hint="eastAsia" w:ascii="黑体" w:hAnsi="黑体" w:eastAsia="黑体" w:cs="黑体"/>
          <w:b w:val="0"/>
          <w:bCs w:val="0"/>
          <w:lang w:val="en-US" w:eastAsia="zh-CN"/>
        </w:rPr>
        <w:t>第四部分 名词解释</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700" w:bottom="770" w:left="1020" w:header="283"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outlineLvl w:val="0"/>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eastAsia="zh-CN"/>
        </w:rPr>
        <w:t xml:space="preserve"> </w:t>
      </w:r>
      <w:r>
        <w:rPr>
          <w:rFonts w:hint="eastAsia" w:ascii="宋体" w:hAnsi="宋体" w:eastAsia="宋体" w:cs="宋体"/>
          <w:b/>
          <w:bCs/>
        </w:rPr>
        <w:t>单位概况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省公安厅交通警察总队负责拟订全省道路交通安全管理的政策、规定，指导、监督市、县公安机关依法查处道路交通违法犯罪行为，处理道路交通事故，维护道路交通安全、道路交通秩序、公路治安秩序；参与省内重特大道路交通事故调查处理工作；指导市、县公安机关道路交通应急管理和重大活动道路交通安全保卫工作；指导市、县公安机关实施对剧毒化学品的道路运输审批；指导、监督机动车（不含拖拉机）登记、机动车安全技术检验合格标志核发和驾驶人考试发证工作；组织、指导市、县道路交通安全宣传教育工作；组织、指导道路交通安全管理科技工作；指导市、县公安机关参与道路、停车场和道路配套设施规划、设计、建设工作；指导全省公安机关交警队伍建设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二、</w:t>
      </w:r>
      <w:r>
        <w:rPr>
          <w:rFonts w:ascii="黑体" w:hAnsi="黑体" w:eastAsia="黑体" w:cs="黑体"/>
        </w:rPr>
        <w:t>单位</w:t>
      </w:r>
      <w:r>
        <w:rPr>
          <w:rFonts w:hint="eastAsia" w:ascii="黑体" w:hAnsi="黑体" w:eastAsia="黑体" w:cs="黑体"/>
          <w:b w:val="0"/>
          <w:bCs w:val="0"/>
        </w:rPr>
        <w:t>机构设置及决算单位构成情况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ascii="仿宋" w:hAnsi="仿宋" w:eastAsia="仿宋" w:cs="仿宋"/>
        </w:rPr>
        <w:t>本单位内设机构包括综合指挥调度支队、交通安全保卫支队、农村交通管理支队、城市交通管理支队、高速公路交通治安管理支队。本单位无下属单位。</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三、</w:t>
      </w:r>
      <w:r>
        <w:rPr>
          <w:rFonts w:hint="eastAsia" w:ascii="黑体" w:hAnsi="黑体" w:eastAsia="黑体" w:cs="黑体"/>
          <w:b w:val="0"/>
          <w:bCs w:val="0"/>
          <w:lang w:eastAsia="zh-CN"/>
        </w:rPr>
        <w:t>2022</w:t>
      </w:r>
      <w:r>
        <w:rPr>
          <w:rFonts w:hint="eastAsia" w:ascii="黑体" w:hAnsi="黑体" w:eastAsia="黑体" w:cs="黑体"/>
          <w:b w:val="0"/>
          <w:bCs w:val="0"/>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2022年，全省公安交警部门要坚持以习近平新时代中国特色社会主义思想为指导，认真贯彻中央、省部和省厅党委决策部署，聚焦党的二十大交通安保主题主线，深化实施江苏公安“六六战略”，持续开展“六型交管”建设，着力打造“五军交警”队伍，统筹推进预防事故保安全、规范执法护稳定、便民利企促发展，努力为党的二十大创造良好的道路交通环境。</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一、开展事故压降攻坚提升行动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一）健全道路交通安全综合治理机制。推动成立省级道路交通安全委员会，建立道路交通安全评价制度，提高道路交通安全考核权重。出台《关于加强农村道路交通安全工作的意见》。会同相关单位制定《关于深化高速公路“一路三方”协同共治的意见》。会同交通运输部门开展综合治理安全乡镇建设试点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完善道路交通安全常态整治机制。深入推进道路运输安全专项整治三年行动，持续深化交通事故预防“减量控大”工作。制定贯穿全年、梯次推进的交通安全整治计划，挂牌督办、挂钩帮扶事故多发的地区和路段。建立省、市、县三级交警部门交通事故、违法常态化分析研判和预警通报制度。配合交通运输部门开展道路运输非法营运专项整治。</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三）加强机动车和驾驶人源头管理。深入推进机动车登记查验和驾驶人考试集中整治，严格驾驶人考场准入管理，推动落实“自建为主、社会为辅”考场建设要求。配合工信、市场监管等部门深化货车“大吨小标”、非法改装等问题治理。严格查验员、考试员队伍管理，全面应用“查验智库”APP。</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（四）加强重大活动交通安保。高标准做好党的二十大和北京冬奥会、杭州亚运会等重大活动交通安保。</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二、开展城市秩序攻坚提升行动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五）加强城市交通乱象整治。保持酒驾醉驾常态化高压严管态势，继续开展“零酒驾”创建活动，落实工程运输车长效常态管理措施，加大分心驾驶重点违法查处力度。常态治理非机动车和行人、电动自行车违法，强化不礼让斑马线、不按规定使用安全带、违法停车专项整治。</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六）治理城市交通安全隐患。推动与城管、园林绿化等部门建立协作联动机制，整治绿化遮挡视线问题。加强慢行交通安全保护，推行主次干道距离路口不少于10米范围内机非物理隔离，推进双向六车道（含）以上道路设置行人二次过街安全岛，排查整改停车泊位设置影响非机动车和行人通行问题。落实路口右转安全防护，综合设置右转信号和标线标识，缩小转弯半径，推行大型车辆右转弯停车再起步等措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七）推进城市交通组织优化。推动交通组织优化办公室和交通信号配时优化中心实体化运作。按照规范设置率100%的目标，常态化开展交通标志、标线、信号灯设置问题排查整改。进一步完善学校、医院、施工区域设施的设置与管理。建立完善基于流量监测和互联网交通数据融合的交通信号配时管理机制。</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八）狠抓城市堵点乱点治理。“一点一策”治理易发常发性交通堵点，需要工程改造的，提请政府挂牌督办。会同相关职能部门系统治理学校、医院、商圈、景区周边道路交通拥堵。在城镇老旧小区周边具备条件的支路划定允许夜间、周末、法定假期停车的路段，在学校周边道路合理设置接送学生上下学车辆临时停车区域，在医院、小区门口附近设置出租车限时停车专用车位，在公共厕所附近设置限时停车位，解决基本停车难题。因地制宜应用交替通行、潮汐车道、可变进口车道、定向车道、借道通行、快速路匝道管控、限时段通行标线等交通组织措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九）深化城市交通勤务改革。推进市县城区执勤大、中队勤务指挥室建设，完善指挥调度、视频巡控、勤务监督、情报研判、设施巡检常态化机制。落实铁骑突击队、常规铁骑队配备要求和勤务制度，实行棋盘式布警、网格化管控。</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保障城市配送交通需求。落实《关于优化和改进城市配送货车通行管理工作的指导意见》，落地“便利货车在城市道路通行”改革举措，最大限度放宽货车通行限制。落实新能源汽车差异化通行政策，新能源轻微型厢式和封闭货车非必要不限行。在居住区、商业集中区等配送货车临时停车需求较大但停车资源不足的区域，因地制宜设置临时专用停车位。</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三、开展固本强基攻坚提升行动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（十一）加强农村道路安防设施建设。常态开展道路隐患</w:t>
      </w:r>
      <w:r>
        <w:rPr>
          <w:rFonts w:hint="eastAsia" w:ascii="仿宋" w:hAnsi="仿宋" w:eastAsia="仿宋" w:cs="仿宋"/>
          <w:lang w:eastAsia="zh-CN"/>
        </w:rPr>
        <w:t>排查治理</w:t>
      </w:r>
      <w:bookmarkStart w:id="0" w:name="_GoBack"/>
      <w:bookmarkEnd w:id="0"/>
      <w:r>
        <w:rPr>
          <w:rFonts w:ascii="仿宋" w:hAnsi="仿宋" w:eastAsia="仿宋" w:cs="仿宋"/>
        </w:rPr>
        <w:t>，推广应用隐患排查系统。持续落实“三个一”（一盏灯、一块牌、一条线）、“五必上”（警告标志、道路标线、减速带、警示桩、交通信号灯）、“三必上”（警告标志、减速带、路侧护栏）和“坡改平”措施，推广应用平交路口主动预警提示系统和智能移动卡口等科技设施，整治平交路口视距遮挡和国省道“小开口”，优化调整国省道公交、校车停靠站点。</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（十二）深化农村道路防控体系建设。制定农村道路防控体系建设方案。制定《关于加强农村中队建设的意见》。打造公路中队智慧指挥室样板。加大“一村一交通辅警”建设力度。</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三）深化国省道交通安全文明示范路创建。开展高速公路交通管理示范路创建，推进“三道防线”建设，推广应用控距抓拍执法系统。制定普通国省道交通安全文明示范路建设标准，开展国省道速度管控课题研究，全面落实货车右行管控措施。会同交通运输部门严厉整治超限超载等违法违规行为。</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四、开展执法服务攻坚提升行动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四）深化公安交管“放管服”改革。坚持“我为群众办实事”常态化，落实便民利企新举措。稳妥开展大型客货车驾驶人降级恢复、新车注册登记生产企业预查验等改革试点工作。推广道路交通事故一体化处理工作机制和机动车安全技术检验“一次办”改革成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五）深化顽瘴痼疾整治。健全窗口业务、事故处理顽瘴痼疾常态化治理机制。推进落实改进执法“六项措施”，推广违法停车先行提醒纠正执法模式，试点参加交通志愿减免处罚机制。推广应用交通事故智能辅助定责系统。</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六）加强执法监督管理。深化交管业务综合监管系统一期（车驾管业务）应用，推广应用道路交通事故业务监管系统，常态化预警通报异常业务。制定交警部门执法责任制实施意见和法制审核工作规范。推广应用交警法治智慧管理平台。组织开展执法规范化建设重点任务督察评估。推广应用交警队伍管理信息系统，强化执勤执法记录仪使用管理。</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七）强化法治保障服务。贯彻实施《机动车登记规定》和《机动车驾驶证申领和使用规定》。推动《江苏省道路交通安全条例》修订工作。配合相关部门提请省政府修订道路交通事故社会救助基金管理办法及实施细则、核销细则。推广行政案件、刑事案件以及交通事故快速处理机制。</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八）加强科技支撑服务。按照公安部交管局统一部署，整合交通管理社会服务专网系统，建设信息安全监管系统（二期），推广应用交管窗口统一终端设备管理软件。搭建省级数据中台，开展数据服务接口、全省交管数据建模平台建设。完成交通违法学法减分、非税收入退付系统建设，推进交管互联网服务与省政府、省厅政务服务对接。</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十九）加强交通安全宣传教育。会同交通运输部门出台《江苏省道路交通安全教育宣传提升工程规划》。会同相关部门打造高速公路服务区示范宣传阵地。推进农村交通安全宣传“百千万”行动，加强农村地区“一老一小”普法教育，推动农村中小学交通安全教育基地建设。持续开展“五大曝光行动”，加强重点时段主题宣传和预警提示。加强新媒体矩阵建设及宣传联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五、开展实战能力攻坚提升行动</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十）加强实战练兵。制定全省公安交警部门2022年度培训计划，继续做好分层分级培训。牵头组织全国第三片区比武竞赛。加强车辆查验查缉等重点岗位实战训练，举办道路交通事故夜间现场勘查比武竞赛。组织重特大道路交通事故现场应急处置演练。加强全国交警网校平台应用，拓展网上练兵渠道。</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（二十一）加强典型选树。推进车管所“四型车管”建设，开展2020-2021年度车管所等级评定。持续开展星级高速大队创建。</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（二十二）大力优警暖警。落实重要节点走访慰问措施，加强执勤执法权益维护，强化执勤执法安全防范和疫情防护，做好因公牺牲交警辅警家属关心优抚。</w:t>
      </w:r>
    </w:p>
    <w:p>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700" w:bottom="770" w:left="1020" w:header="283"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rPr>
        <w:t>第二部分</w:t>
      </w:r>
    </w:p>
    <w:p>
      <w:pPr>
        <w:pStyle w:val="21"/>
        <w:widowControl w:val="0"/>
        <w:tabs>
          <w:tab w:val="left" w:pos="1609"/>
        </w:tabs>
        <w:suppressAutoHyphens/>
        <w:bidi w:val="0"/>
        <w:spacing w:before="12" w:after="0"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u w:val="none"/>
        </w:rPr>
        <w:t>江苏省公安厅交通警察总队</w:t>
      </w:r>
    </w:p>
    <w:p>
      <w:pPr>
        <w:pStyle w:val="21"/>
        <w:widowControl w:val="0"/>
        <w:tabs>
          <w:tab w:val="left" w:pos="1609"/>
        </w:tabs>
        <w:suppressAutoHyphens/>
        <w:bidi w:val="0"/>
        <w:spacing w:before="12" w:after="0"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2022</w:t>
      </w:r>
      <w:r>
        <w:rPr>
          <w:rFonts w:hint="eastAsia" w:ascii="宋体" w:hAnsi="宋体" w:eastAsia="宋体" w:cs="宋体"/>
          <w:b/>
          <w:bCs/>
          <w:sz w:val="36"/>
          <w:szCs w:val="36"/>
        </w:rPr>
        <w:t>年度</w:t>
      </w:r>
      <w:r>
        <w:rPr>
          <w:rFonts w:hint="eastAsia" w:ascii="宋体" w:hAnsi="宋体" w:eastAsia="宋体" w:cs="宋体"/>
          <w:b/>
          <w:bCs/>
          <w:sz w:val="36"/>
          <w:szCs w:val="36"/>
          <w:lang w:val="en-US" w:eastAsia="zh-CN"/>
        </w:rPr>
        <w:t>单位</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tblPrEx>
          <w:tblCellMar>
            <w:top w:w="0" w:type="dxa"/>
            <w:left w:w="108" w:type="dxa"/>
            <w:bottom w:w="0" w:type="dxa"/>
            <w:right w:w="108" w:type="dxa"/>
          </w:tblCellMar>
        </w:tblPrEx>
        <w:trPr>
          <w:trHeight w:val="544" w:hRule="atLeast"/>
          <w:jc w:val="center"/>
        </w:trPr>
        <w:tc>
          <w:tcPr>
            <w:tcW w:w="10447" w:type="dxa"/>
            <w:gridSpan w:val="5"/>
          </w:tcPr>
          <w:p>
            <w:pPr>
              <w:pageBreakBefore/>
              <w:widowControl w:val="0"/>
              <w:ind w:left="0" w:right="0" w:firstLine="0"/>
              <w:jc w:val="center"/>
              <w:textAlignment w:val="auto"/>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tblPrEx>
          <w:tblCellMar>
            <w:top w:w="0" w:type="dxa"/>
            <w:left w:w="108" w:type="dxa"/>
            <w:bottom w:w="0" w:type="dxa"/>
            <w:right w:w="108" w:type="dxa"/>
          </w:tblCellMar>
        </w:tblPrEx>
        <w:trPr>
          <w:trHeight w:val="348" w:hRule="atLeast"/>
          <w:jc w:val="center"/>
        </w:trPr>
        <w:tc>
          <w:tcPr>
            <w:tcW w:w="3468" w:type="dxa"/>
          </w:tcPr>
          <w:p>
            <w:pPr>
              <w:widowControl w:val="0"/>
              <w:ind w:left="0" w:right="0" w:firstLine="0"/>
              <w:jc w:val="left"/>
              <w:textAlignment w:val="auto"/>
              <w:rPr>
                <w:rFonts w:hint="eastAsia" w:ascii="仿宋" w:hAnsi="仿宋" w:eastAsia="仿宋" w:cs="仿宋"/>
                <w:color w:val="000000"/>
                <w:sz w:val="20"/>
              </w:rPr>
            </w:pPr>
          </w:p>
        </w:tc>
        <w:tc>
          <w:tcPr>
            <w:tcW w:w="1777" w:type="dxa"/>
          </w:tcPr>
          <w:p>
            <w:pPr>
              <w:widowControl w:val="0"/>
              <w:ind w:left="0" w:right="0" w:firstLine="0"/>
              <w:jc w:val="left"/>
              <w:textAlignment w:val="auto"/>
              <w:rPr>
                <w:rFonts w:hint="eastAsia" w:ascii="仿宋" w:hAnsi="仿宋" w:eastAsia="仿宋" w:cs="仿宋"/>
                <w:color w:val="000000"/>
                <w:sz w:val="20"/>
              </w:rPr>
            </w:pPr>
          </w:p>
        </w:tc>
        <w:tc>
          <w:tcPr>
            <w:tcW w:w="5202" w:type="dxa"/>
            <w:gridSpan w:val="3"/>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ar-SA"/>
              </w:rPr>
              <w:t>公开01表</w:t>
            </w:r>
          </w:p>
        </w:tc>
      </w:tr>
      <w:tr>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color w:val="000000"/>
                <w:sz w:val="22"/>
                <w:szCs w:val="22"/>
                <w:lang w:eastAsia="ar-SA"/>
              </w:rPr>
              <w:t>江苏省公安厅交通警察总队</w:t>
            </w:r>
          </w:p>
        </w:tc>
        <w:tc>
          <w:tcPr>
            <w:tcW w:w="3167"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rPr>
              <w:t>金额单位：万元</w:t>
            </w:r>
          </w:p>
        </w:tc>
      </w:tr>
      <w:tr>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支出</w:t>
            </w:r>
          </w:p>
        </w:tc>
      </w:tr>
      <w:tr>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ascii="仿宋" w:hAnsi="仿宋" w:eastAsia="仿宋" w:cs="仿宋"/>
                <w:color w:val="000000"/>
                <w:sz w:val="22"/>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7,986.93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6,728.81</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268.21</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1,011.42</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301.55</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7,986.93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8,309.99</w:t>
            </w: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使用非财政拨款结余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6,598.54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6,275.48</w:t>
            </w:r>
          </w:p>
        </w:tc>
      </w:tr>
      <w:tr>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777"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3376" w:type="dxa"/>
            <w:gridSpan w:val="2"/>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826"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r>
      <w:tr>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14,585.47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14,585.47</w:t>
            </w:r>
          </w:p>
        </w:tc>
      </w:tr>
    </w:tbl>
    <w:p>
      <w:pPr>
        <w:widowControl w:val="0"/>
        <w:suppressAutoHyphens/>
        <w:bidi w:val="0"/>
        <w:spacing w:before="66" w:after="0"/>
        <w:ind w:left="0" w:leftChars="0" w:right="0" w:rightChars="0" w:firstLine="0" w:firstLineChars="0"/>
        <w:jc w:val="both"/>
        <w:rPr>
          <w:rFonts w:hint="eastAsia" w:ascii="仿宋" w:hAnsi="仿宋" w:eastAsia="仿宋" w:cs="仿宋"/>
          <w:b w:val="0"/>
          <w:bCs w:val="0"/>
          <w:color w:val="000000"/>
          <w:sz w:val="22"/>
          <w:szCs w:val="22"/>
          <w:lang w:val="en-US" w:eastAsia="zh-CN"/>
        </w:rPr>
      </w:pPr>
      <w:r>
        <w:rPr>
          <w:rFonts w:hint="eastAsia" w:ascii="仿宋" w:hAnsi="仿宋" w:eastAsia="仿宋" w:cs="仿宋"/>
          <w:b w:val="0"/>
          <w:bCs w:val="0"/>
          <w:color w:val="000000"/>
          <w:sz w:val="22"/>
          <w:szCs w:val="22"/>
          <w:lang w:val="en-US" w:eastAsia="zh-CN"/>
        </w:rPr>
        <w:t>注：本表反映本年度的总收支和年末结转结余情况。本表金额单位转换时可能存在尾数误差。</w:t>
      </w:r>
    </w:p>
    <w:p>
      <w:pPr>
        <w:widowControl w:val="0"/>
        <w:suppressAutoHyphens/>
        <w:bidi w:val="0"/>
        <w:spacing w:before="66" w:after="0"/>
        <w:ind w:right="0"/>
        <w:jc w:val="both"/>
        <w:rPr>
          <w:rFonts w:hint="eastAsia" w:ascii="仿宋" w:hAnsi="仿宋" w:eastAsia="仿宋" w:cs="仿宋"/>
          <w:b w:val="0"/>
          <w:bCs w:val="0"/>
          <w:color w:val="000000"/>
          <w:sz w:val="22"/>
          <w:szCs w:val="22"/>
        </w:rPr>
        <w:sectPr>
          <w:footerReference r:id="rId8"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tblPrEx>
          <w:tblCellMar>
            <w:top w:w="0" w:type="dxa"/>
            <w:left w:w="108" w:type="dxa"/>
            <w:bottom w:w="0" w:type="dxa"/>
            <w:right w:w="108" w:type="dxa"/>
          </w:tblCellMar>
        </w:tblPrEx>
        <w:trPr>
          <w:trHeight w:val="403" w:hRule="atLeast"/>
          <w:jc w:val="center"/>
        </w:trPr>
        <w:tc>
          <w:tcPr>
            <w:tcW w:w="16660" w:type="dxa"/>
            <w:gridSpan w:val="10"/>
            <w:vAlign w:val="center"/>
          </w:tcPr>
          <w:p>
            <w:pPr>
              <w:pStyle w:val="5"/>
              <w:widowControl w:val="0"/>
              <w:rPr>
                <w:rFonts w:hint="eastAsia" w:ascii="仿宋" w:hAnsi="仿宋" w:eastAsia="仿宋" w:cs="仿宋"/>
                <w:b/>
                <w:bCs/>
                <w:sz w:val="44"/>
                <w:szCs w:val="44"/>
                <w:lang w:val="en-US" w:eastAsia="zh-CN"/>
              </w:rPr>
            </w:pPr>
            <w:r>
              <w:rPr>
                <w:rFonts w:hint="eastAsia" w:ascii="宋体" w:hAnsi="宋体" w:eastAsia="宋体" w:cs="宋体"/>
                <w:b/>
                <w:bCs/>
                <w:color w:val="000000"/>
                <w:kern w:val="0"/>
                <w:sz w:val="36"/>
                <w:szCs w:val="36"/>
                <w:lang w:val="zh-CN" w:eastAsia="ar-SA" w:bidi="zh-CN"/>
              </w:rPr>
              <w:t>收入决算表</w:t>
            </w:r>
          </w:p>
        </w:tc>
      </w:tr>
      <w:tr>
        <w:tblPrEx>
          <w:tblCellMar>
            <w:top w:w="0" w:type="dxa"/>
            <w:left w:w="108" w:type="dxa"/>
            <w:bottom w:w="0" w:type="dxa"/>
            <w:right w:w="108" w:type="dxa"/>
          </w:tblCellMar>
        </w:tblPrEx>
        <w:trPr>
          <w:trHeight w:val="247" w:hRule="atLeast"/>
          <w:jc w:val="center"/>
        </w:trPr>
        <w:tc>
          <w:tcPr>
            <w:tcW w:w="4357" w:type="dxa"/>
            <w:gridSpan w:val="2"/>
            <w:vAlign w:val="center"/>
          </w:tcPr>
          <w:p>
            <w:pPr>
              <w:pStyle w:val="22"/>
              <w:widowControl w:val="0"/>
              <w:jc w:val="center"/>
              <w:rPr>
                <w:rFonts w:hint="eastAsia" w:ascii="仿宋" w:hAnsi="仿宋" w:eastAsia="仿宋" w:cs="仿宋"/>
              </w:rPr>
            </w:pPr>
          </w:p>
        </w:tc>
        <w:tc>
          <w:tcPr>
            <w:tcW w:w="1716" w:type="dxa"/>
            <w:vAlign w:val="center"/>
          </w:tcPr>
          <w:p>
            <w:pPr>
              <w:pStyle w:val="22"/>
              <w:widowControl w:val="0"/>
              <w:jc w:val="center"/>
              <w:rPr>
                <w:rFonts w:hint="eastAsia" w:ascii="仿宋" w:hAnsi="仿宋" w:eastAsia="仿宋" w:cs="仿宋"/>
              </w:rPr>
            </w:pPr>
          </w:p>
        </w:tc>
        <w:tc>
          <w:tcPr>
            <w:tcW w:w="1728" w:type="dxa"/>
            <w:vAlign w:val="center"/>
          </w:tcPr>
          <w:p>
            <w:pPr>
              <w:pStyle w:val="22"/>
              <w:widowControl w:val="0"/>
              <w:jc w:val="center"/>
              <w:rPr>
                <w:rFonts w:hint="eastAsia" w:ascii="仿宋" w:hAnsi="仿宋" w:eastAsia="仿宋" w:cs="仿宋"/>
              </w:rPr>
            </w:pPr>
          </w:p>
        </w:tc>
        <w:tc>
          <w:tcPr>
            <w:tcW w:w="1686" w:type="dxa"/>
            <w:vAlign w:val="center"/>
          </w:tcPr>
          <w:p>
            <w:pPr>
              <w:pStyle w:val="22"/>
              <w:widowControl w:val="0"/>
              <w:jc w:val="center"/>
              <w:rPr>
                <w:rFonts w:hint="eastAsia" w:ascii="仿宋" w:hAnsi="仿宋" w:eastAsia="仿宋" w:cs="仿宋"/>
              </w:rPr>
            </w:pPr>
          </w:p>
        </w:tc>
        <w:tc>
          <w:tcPr>
            <w:tcW w:w="3207" w:type="dxa"/>
            <w:gridSpan w:val="2"/>
            <w:vAlign w:val="center"/>
          </w:tcPr>
          <w:p>
            <w:pPr>
              <w:pStyle w:val="22"/>
              <w:widowControl w:val="0"/>
              <w:jc w:val="center"/>
              <w:rPr>
                <w:rFonts w:hint="eastAsia" w:ascii="仿宋" w:hAnsi="仿宋" w:eastAsia="仿宋" w:cs="仿宋"/>
              </w:rPr>
            </w:pPr>
          </w:p>
        </w:tc>
        <w:tc>
          <w:tcPr>
            <w:tcW w:w="1263" w:type="dxa"/>
            <w:vAlign w:val="center"/>
          </w:tcPr>
          <w:p>
            <w:pPr>
              <w:pStyle w:val="22"/>
              <w:widowControl w:val="0"/>
              <w:jc w:val="center"/>
              <w:rPr>
                <w:rFonts w:hint="eastAsia" w:ascii="仿宋" w:hAnsi="仿宋" w:eastAsia="仿宋" w:cs="仿宋"/>
              </w:rPr>
            </w:pP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公开02表</w:t>
            </w:r>
          </w:p>
        </w:tc>
      </w:tr>
      <w:tr>
        <w:tblPrEx>
          <w:tblCellMar>
            <w:top w:w="0" w:type="dxa"/>
            <w:left w:w="108" w:type="dxa"/>
            <w:bottom w:w="0" w:type="dxa"/>
            <w:right w:w="108" w:type="dxa"/>
          </w:tblCellMar>
        </w:tblPrEx>
        <w:trPr>
          <w:trHeight w:val="247" w:hRule="atLeast"/>
          <w:jc w:val="center"/>
        </w:trPr>
        <w:tc>
          <w:tcPr>
            <w:tcW w:w="13957" w:type="dxa"/>
            <w:gridSpan w:val="8"/>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其他收入</w:t>
            </w:r>
          </w:p>
        </w:tc>
      </w:tr>
      <w:tr>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728"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68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75"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71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7,986.93</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7,986.93</w:t>
            </w:r>
          </w:p>
        </w:tc>
        <w:tc>
          <w:tcPr>
            <w:tcW w:w="168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28"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6,707.30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6,707.30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公安</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6,707.30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6,707.30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3,280.00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3,280.00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其他公安支出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3,427.30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3,427.30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268.21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268.21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268.21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268.21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178.81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178.81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89.40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89.40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1,011.42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1,011.42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1,011.42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1,011.42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319.59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319.59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691.83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691.83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bl>
    <w:p>
      <w:pPr>
        <w:widowControl w:val="0"/>
        <w:suppressAutoHyphens/>
        <w:bidi w:val="0"/>
        <w:spacing w:before="66" w:after="0"/>
        <w:ind w:left="0" w:leftChars="0" w:right="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color w:val="000000"/>
          <w:sz w:val="22"/>
          <w:szCs w:val="22"/>
        </w:rPr>
        <w:t>注：</w:t>
      </w:r>
      <w:r>
        <w:rPr>
          <w:rFonts w:hint="eastAsia" w:ascii="仿宋" w:hAnsi="仿宋" w:eastAsia="仿宋" w:cs="仿宋"/>
          <w:b w:val="0"/>
          <w:bCs w:val="0"/>
          <w:sz w:val="22"/>
          <w:szCs w:val="22"/>
        </w:rPr>
        <w:t>本表反映本年度取得的各项收入情况。本表金额单位转换时可能存在尾数误差。</w:t>
      </w:r>
    </w:p>
    <w:p>
      <w:pPr>
        <w:widowControl w:val="0"/>
        <w:suppressAutoHyphens/>
        <w:bidi w:val="0"/>
        <w:spacing w:before="66" w:after="0"/>
        <w:ind w:left="57" w:right="0" w:firstLine="220" w:firstLineChars="100"/>
        <w:jc w:val="both"/>
        <w:rPr>
          <w:rFonts w:hint="eastAsia" w:ascii="仿宋" w:hAnsi="仿宋" w:eastAsia="仿宋" w:cs="仿宋"/>
          <w:b w:val="0"/>
          <w:bCs w:val="0"/>
          <w:sz w:val="22"/>
          <w:szCs w:val="22"/>
        </w:rPr>
        <w:sectPr>
          <w:footerReference r:id="rId9" w:type="default"/>
          <w:pgSz w:w="16838" w:h="11906" w:orient="landscape"/>
          <w:pgMar w:top="720" w:right="113" w:bottom="720" w:left="11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tblPrEx>
          <w:tblCellMar>
            <w:top w:w="55" w:type="dxa"/>
            <w:left w:w="55" w:type="dxa"/>
            <w:bottom w:w="55" w:type="dxa"/>
            <w:right w:w="55" w:type="dxa"/>
          </w:tblCellMar>
        </w:tblPrEx>
        <w:trPr>
          <w:trHeight w:val="532" w:hRule="atLeast"/>
        </w:trPr>
        <w:tc>
          <w:tcPr>
            <w:tcW w:w="15689" w:type="dxa"/>
            <w:gridSpan w:val="8"/>
            <w:vAlign w:val="center"/>
          </w:tcPr>
          <w:p>
            <w:pPr>
              <w:pStyle w:val="5"/>
              <w:widowControl w:val="0"/>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支出决算表</w:t>
            </w:r>
          </w:p>
        </w:tc>
      </w:tr>
      <w:tr>
        <w:tblPrEx>
          <w:tblCellMar>
            <w:top w:w="55" w:type="dxa"/>
            <w:left w:w="55" w:type="dxa"/>
            <w:bottom w:w="55" w:type="dxa"/>
            <w:right w:w="55" w:type="dxa"/>
          </w:tblCellMar>
        </w:tblPrEx>
        <w:trPr>
          <w:trHeight w:val="227" w:hRule="atLeast"/>
        </w:trPr>
        <w:tc>
          <w:tcPr>
            <w:tcW w:w="5115" w:type="dxa"/>
            <w:gridSpan w:val="2"/>
            <w:vAlign w:val="center"/>
          </w:tcPr>
          <w:p>
            <w:pPr>
              <w:pStyle w:val="22"/>
              <w:widowControl w:val="0"/>
              <w:jc w:val="center"/>
              <w:rPr>
                <w:rFonts w:hint="eastAsia" w:ascii="仿宋" w:hAnsi="仿宋" w:eastAsia="仿宋" w:cs="仿宋"/>
              </w:rPr>
            </w:pPr>
          </w:p>
        </w:tc>
        <w:tc>
          <w:tcPr>
            <w:tcW w:w="2164" w:type="dxa"/>
            <w:vAlign w:val="center"/>
          </w:tcPr>
          <w:p>
            <w:pPr>
              <w:pStyle w:val="22"/>
              <w:widowControl w:val="0"/>
              <w:spacing w:before="0" w:after="0"/>
              <w:ind w:firstLine="0"/>
              <w:jc w:val="center"/>
              <w:rPr>
                <w:rFonts w:hint="eastAsia" w:ascii="仿宋" w:hAnsi="仿宋" w:eastAsia="仿宋" w:cs="仿宋"/>
                <w:sz w:val="20"/>
              </w:rPr>
            </w:pPr>
          </w:p>
        </w:tc>
        <w:tc>
          <w:tcPr>
            <w:tcW w:w="1897" w:type="dxa"/>
            <w:vAlign w:val="center"/>
          </w:tcPr>
          <w:p>
            <w:pPr>
              <w:pStyle w:val="22"/>
              <w:widowControl w:val="0"/>
              <w:spacing w:before="0" w:after="0"/>
              <w:ind w:firstLine="0"/>
              <w:jc w:val="center"/>
              <w:rPr>
                <w:rFonts w:hint="eastAsia" w:ascii="仿宋" w:hAnsi="仿宋" w:eastAsia="仿宋" w:cs="仿宋"/>
                <w:sz w:val="20"/>
              </w:rPr>
            </w:pPr>
          </w:p>
        </w:tc>
        <w:tc>
          <w:tcPr>
            <w:tcW w:w="1739" w:type="dxa"/>
            <w:vAlign w:val="center"/>
          </w:tcPr>
          <w:p>
            <w:pPr>
              <w:pStyle w:val="22"/>
              <w:widowControl w:val="0"/>
              <w:spacing w:before="0" w:after="0"/>
              <w:ind w:firstLine="0"/>
              <w:jc w:val="center"/>
              <w:rPr>
                <w:rFonts w:hint="eastAsia" w:ascii="仿宋" w:hAnsi="仿宋" w:eastAsia="仿宋" w:cs="仿宋"/>
                <w:sz w:val="20"/>
              </w:rPr>
            </w:pPr>
          </w:p>
        </w:tc>
        <w:tc>
          <w:tcPr>
            <w:tcW w:w="1715" w:type="dxa"/>
            <w:vAlign w:val="center"/>
          </w:tcPr>
          <w:p>
            <w:pPr>
              <w:pStyle w:val="22"/>
              <w:widowControl w:val="0"/>
              <w:spacing w:before="0" w:after="0"/>
              <w:ind w:firstLine="0"/>
              <w:jc w:val="center"/>
              <w:rPr>
                <w:rFonts w:hint="eastAsia" w:ascii="仿宋" w:hAnsi="仿宋" w:eastAsia="仿宋" w:cs="仿宋"/>
                <w:sz w:val="20"/>
              </w:rPr>
            </w:pP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trHeight w:val="90" w:hRule="atLeast"/>
        </w:trPr>
        <w:tc>
          <w:tcPr>
            <w:tcW w:w="12630" w:type="dxa"/>
            <w:gridSpan w:val="6"/>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kern w:val="0"/>
                <w:sz w:val="22"/>
                <w:szCs w:val="22"/>
              </w:rPr>
              <w:t>项目</w:t>
            </w:r>
          </w:p>
        </w:tc>
        <w:tc>
          <w:tcPr>
            <w:tcW w:w="2164"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本年支出合计</w:t>
            </w:r>
          </w:p>
        </w:tc>
        <w:tc>
          <w:tcPr>
            <w:tcW w:w="1897"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39"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715"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3"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kern w:val="0"/>
                <w:sz w:val="22"/>
                <w:szCs w:val="22"/>
              </w:rPr>
            </w:pPr>
            <w:r>
              <w:rPr>
                <w:rFonts w:hint="eastAsia" w:ascii="仿宋" w:hAnsi="仿宋" w:eastAsia="仿宋" w:cs="仿宋"/>
                <w:kern w:val="0"/>
                <w:sz w:val="22"/>
                <w:szCs w:val="22"/>
              </w:rPr>
              <w:t>功能分类</w:t>
            </w:r>
          </w:p>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927"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科目名称</w:t>
            </w:r>
          </w:p>
        </w:tc>
        <w:tc>
          <w:tcPr>
            <w:tcW w:w="2164"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897"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39"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15"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633"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426" w:type="dxa"/>
            <w:vMerge w:val="continue"/>
            <w:tcBorders>
              <w:left w:val="single" w:color="000000" w:sz="4" w:space="0"/>
              <w:bottom w:val="single" w:color="000000" w:sz="4" w:space="0"/>
              <w:right w:val="single" w:color="000000" w:sz="4" w:space="0"/>
            </w:tcBorders>
          </w:tcPr>
          <w:p>
            <w:pPr>
              <w:widowControl w:val="0"/>
              <w:spacing w:before="0" w:after="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2164"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8,309.99</w:t>
            </w:r>
          </w:p>
        </w:tc>
        <w:tc>
          <w:tcPr>
            <w:tcW w:w="189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4,527.30</w:t>
            </w:r>
          </w:p>
        </w:tc>
        <w:tc>
          <w:tcPr>
            <w:tcW w:w="1739"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3,782.69</w:t>
            </w:r>
          </w:p>
        </w:tc>
        <w:tc>
          <w:tcPr>
            <w:tcW w:w="1715"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6,728.81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3,247.67</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3,481.14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公安</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6,728.81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3,247.67</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3,481.14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3,247.67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3,247.67</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其他公安支出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3,481.14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3,481.14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268.21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268.21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268.21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268.21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178.81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178.81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2080506</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89.40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89.40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住房保障支出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1,011.42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1,011.42</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1,011.42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1,011.42</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319.59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319.59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691.83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691.83</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301.55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301.55</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301.55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301.55</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301.55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301.55</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bl>
    <w:p>
      <w:pPr>
        <w:widowControl w:val="0"/>
        <w:suppressAutoHyphens/>
        <w:bidi w:val="0"/>
        <w:spacing w:before="59" w:after="0"/>
        <w:ind w:left="0" w:leftChars="0" w:right="0" w:firstLine="0" w:firstLineChars="0"/>
        <w:jc w:val="left"/>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注：本表反映本年度各项支出情况。本表金额单位转换时可能存在尾数误差。</w:t>
      </w:r>
    </w:p>
    <w:p>
      <w:pPr>
        <w:widowControl w:val="0"/>
        <w:suppressAutoHyphens/>
        <w:bidi w:val="0"/>
        <w:spacing w:before="59" w:after="0"/>
        <w:ind w:left="57" w:right="0" w:firstLine="0"/>
        <w:jc w:val="left"/>
        <w:rPr>
          <w:rFonts w:hint="eastAsia" w:ascii="仿宋" w:hAnsi="仿宋" w:eastAsia="仿宋" w:cs="仿宋"/>
          <w:b w:val="0"/>
          <w:bCs w:val="0"/>
          <w:sz w:val="22"/>
          <w:szCs w:val="22"/>
        </w:rPr>
        <w:sectPr>
          <w:footerReference r:id="rId10" w:type="default"/>
          <w:pgSz w:w="16838" w:h="11906" w:orient="landscape"/>
          <w:pgMar w:top="720" w:right="567" w:bottom="7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tblPrEx>
          <w:tblCellMar>
            <w:top w:w="55" w:type="dxa"/>
            <w:left w:w="55" w:type="dxa"/>
            <w:bottom w:w="55" w:type="dxa"/>
            <w:right w:w="55" w:type="dxa"/>
          </w:tblCellMar>
        </w:tblPrEx>
        <w:trPr>
          <w:trHeight w:val="319" w:hRule="atLeast"/>
        </w:trPr>
        <w:tc>
          <w:tcPr>
            <w:tcW w:w="15372" w:type="dxa"/>
            <w:gridSpan w:val="10"/>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财政拨款收入支出决算总表</w:t>
            </w:r>
          </w:p>
        </w:tc>
      </w:tr>
      <w:tr>
        <w:tblPrEx>
          <w:tblCellMar>
            <w:top w:w="55" w:type="dxa"/>
            <w:left w:w="55" w:type="dxa"/>
            <w:bottom w:w="55" w:type="dxa"/>
            <w:right w:w="55" w:type="dxa"/>
          </w:tblCellMar>
        </w:tblPrEx>
        <w:trPr>
          <w:trHeight w:val="319" w:hRule="atLeast"/>
        </w:trPr>
        <w:tc>
          <w:tcPr>
            <w:tcW w:w="5562" w:type="dxa"/>
            <w:gridSpan w:val="2"/>
          </w:tcPr>
          <w:p>
            <w:pPr>
              <w:pStyle w:val="22"/>
              <w:widowControl w:val="0"/>
              <w:rPr>
                <w:rFonts w:hint="eastAsia" w:ascii="仿宋" w:hAnsi="仿宋" w:eastAsia="仿宋" w:cs="仿宋"/>
                <w:sz w:val="20"/>
              </w:rPr>
            </w:pPr>
          </w:p>
        </w:tc>
        <w:tc>
          <w:tcPr>
            <w:tcW w:w="847" w:type="dxa"/>
          </w:tcPr>
          <w:p>
            <w:pPr>
              <w:pStyle w:val="22"/>
              <w:widowControl w:val="0"/>
              <w:rPr>
                <w:rFonts w:hint="eastAsia" w:ascii="仿宋" w:hAnsi="仿宋" w:eastAsia="仿宋" w:cs="仿宋"/>
                <w:sz w:val="20"/>
              </w:rPr>
            </w:pPr>
          </w:p>
        </w:tc>
        <w:tc>
          <w:tcPr>
            <w:tcW w:w="1913" w:type="dxa"/>
          </w:tcPr>
          <w:p>
            <w:pPr>
              <w:pStyle w:val="22"/>
              <w:widowControl w:val="0"/>
              <w:rPr>
                <w:rFonts w:hint="eastAsia" w:ascii="仿宋" w:hAnsi="仿宋" w:eastAsia="仿宋" w:cs="仿宋"/>
                <w:sz w:val="20"/>
              </w:rPr>
            </w:pPr>
          </w:p>
        </w:tc>
        <w:tc>
          <w:tcPr>
            <w:tcW w:w="2635" w:type="dxa"/>
            <w:gridSpan w:val="2"/>
          </w:tcPr>
          <w:p>
            <w:pPr>
              <w:pStyle w:val="22"/>
              <w:widowControl w:val="0"/>
              <w:rPr>
                <w:rFonts w:hint="eastAsia" w:ascii="仿宋" w:hAnsi="仿宋" w:eastAsia="仿宋" w:cs="仿宋"/>
                <w:sz w:val="20"/>
              </w:rPr>
            </w:pPr>
          </w:p>
        </w:tc>
        <w:tc>
          <w:tcPr>
            <w:tcW w:w="1194" w:type="dxa"/>
          </w:tcPr>
          <w:p>
            <w:pPr>
              <w:pStyle w:val="22"/>
              <w:widowControl w:val="0"/>
              <w:rPr>
                <w:rFonts w:hint="eastAsia" w:ascii="仿宋" w:hAnsi="仿宋" w:eastAsia="仿宋" w:cs="仿宋"/>
                <w:sz w:val="20"/>
              </w:rPr>
            </w:pP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公开04表</w:t>
            </w:r>
          </w:p>
        </w:tc>
      </w:tr>
      <w:tr>
        <w:tblPrEx>
          <w:tblCellMar>
            <w:top w:w="55" w:type="dxa"/>
            <w:left w:w="55" w:type="dxa"/>
            <w:bottom w:w="55" w:type="dxa"/>
            <w:right w:w="55" w:type="dxa"/>
          </w:tblCellMar>
        </w:tblPrEx>
        <w:trPr>
          <w:trHeight w:val="319" w:hRule="atLeast"/>
        </w:trPr>
        <w:tc>
          <w:tcPr>
            <w:tcW w:w="12151" w:type="dxa"/>
            <w:gridSpan w:val="7"/>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江苏省公安厅交通警察总队</w:t>
            </w: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收</w:t>
            </w:r>
            <w:r>
              <w:rPr>
                <w:rFonts w:hint="eastAsia" w:ascii="仿宋" w:hAnsi="仿宋" w:eastAsia="仿宋" w:cs="仿宋"/>
                <w:sz w:val="22"/>
                <w:szCs w:val="22"/>
              </w:rPr>
              <w:tab/>
            </w:r>
            <w:r>
              <w:rPr>
                <w:rFonts w:hint="eastAsia" w:ascii="仿宋" w:hAnsi="仿宋" w:eastAsia="仿宋" w:cs="仿宋"/>
                <w:sz w:val="22"/>
                <w:szCs w:val="22"/>
              </w:rPr>
              <w:t>入</w:t>
            </w:r>
          </w:p>
        </w:tc>
        <w:tc>
          <w:tcPr>
            <w:tcW w:w="9810" w:type="dxa"/>
            <w:gridSpan w:val="8"/>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支</w:t>
            </w:r>
            <w:r>
              <w:rPr>
                <w:rFonts w:hint="eastAsia" w:ascii="仿宋" w:hAnsi="仿宋" w:eastAsia="仿宋" w:cs="仿宋"/>
                <w:sz w:val="22"/>
                <w:szCs w:val="22"/>
              </w:rPr>
              <w:tab/>
            </w:r>
            <w:r>
              <w:rPr>
                <w:rFonts w:hint="eastAsia" w:ascii="仿宋" w:hAnsi="仿宋" w:eastAsia="仿宋" w:cs="仿宋"/>
                <w:sz w:val="22"/>
                <w:szCs w:val="22"/>
              </w:rPr>
              <w:t>出</w:t>
            </w:r>
          </w:p>
        </w:tc>
      </w:tr>
      <w:tr>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1837"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c>
          <w:tcPr>
            <w:tcW w:w="3667" w:type="dxa"/>
            <w:gridSpan w:val="3"/>
            <w:vMerge w:val="restart"/>
            <w:tcBorders>
              <w:left w:val="single" w:color="000000" w:sz="4" w:space="0"/>
              <w:bottom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按功能分类</w:t>
            </w:r>
          </w:p>
        </w:tc>
        <w:tc>
          <w:tcPr>
            <w:tcW w:w="6143" w:type="dxa"/>
            <w:gridSpan w:val="5"/>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r>
      <w:tr>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837"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3667" w:type="dxa"/>
            <w:gridSpan w:val="3"/>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小计</w:t>
            </w:r>
          </w:p>
        </w:tc>
        <w:tc>
          <w:tcPr>
            <w:tcW w:w="14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一般公共预算财政拨款</w:t>
            </w:r>
          </w:p>
        </w:tc>
        <w:tc>
          <w:tcPr>
            <w:tcW w:w="15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政府性基金预算财政拨款</w:t>
            </w:r>
          </w:p>
        </w:tc>
        <w:tc>
          <w:tcPr>
            <w:tcW w:w="1500"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国有资本经营预算财政拨款</w:t>
            </w: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7,986.93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6,728.78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6,728.78</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268.21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268.21</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1,011.42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1,011.42</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本年收入合计</w:t>
            </w:r>
          </w:p>
        </w:tc>
        <w:tc>
          <w:tcPr>
            <w:tcW w:w="1837"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7,986.93</w:t>
            </w:r>
          </w:p>
        </w:tc>
        <w:tc>
          <w:tcPr>
            <w:tcW w:w="3667" w:type="dxa"/>
            <w:gridSpan w:val="3"/>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本年支出合计</w:t>
            </w:r>
          </w:p>
        </w:tc>
        <w:tc>
          <w:tcPr>
            <w:tcW w:w="1728"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8,309.96</w:t>
            </w:r>
          </w:p>
        </w:tc>
        <w:tc>
          <w:tcPr>
            <w:tcW w:w="1415" w:type="dxa"/>
            <w:gridSpan w:val="2"/>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8,309.96</w:t>
            </w:r>
          </w:p>
        </w:tc>
        <w:tc>
          <w:tcPr>
            <w:tcW w:w="1500"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年初财政拨款结转和结余</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2,630.18</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年末财政拨款结转和结余</w:t>
            </w: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2,307.15</w:t>
            </w: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2,307.15</w:t>
            </w: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2,630.18</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83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10,617.11</w:t>
            </w:r>
          </w:p>
        </w:tc>
        <w:tc>
          <w:tcPr>
            <w:tcW w:w="366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10,617.11</w:t>
            </w:r>
          </w:p>
        </w:tc>
        <w:tc>
          <w:tcPr>
            <w:tcW w:w="1415" w:type="dxa"/>
            <w:gridSpan w:val="2"/>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10,617.11</w:t>
            </w:r>
          </w:p>
        </w:tc>
        <w:tc>
          <w:tcPr>
            <w:tcW w:w="150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ind w:left="0" w:leftChars="0" w:firstLine="0" w:firstLineChars="0"/>
        <w:jc w:val="both"/>
        <w:rPr>
          <w:rFonts w:hint="eastAsia" w:ascii="仿宋" w:hAnsi="仿宋" w:eastAsia="仿宋" w:cs="仿宋"/>
          <w:b w:val="0"/>
          <w:bCs w:val="0"/>
        </w:rPr>
      </w:pPr>
      <w:r>
        <w:rPr>
          <w:rFonts w:hint="eastAsia" w:ascii="仿宋" w:hAnsi="仿宋" w:eastAsia="仿宋" w:cs="仿宋"/>
          <w:b w:val="0"/>
          <w:bCs w:val="0"/>
          <w:lang w:val="en-US" w:eastAsia="zh-CN"/>
        </w:rPr>
        <w:t>注：</w:t>
      </w:r>
      <w:r>
        <w:rPr>
          <w:rFonts w:hint="eastAsia" w:ascii="仿宋" w:hAnsi="仿宋" w:eastAsia="仿宋" w:cs="仿宋"/>
          <w:b w:val="0"/>
          <w:bCs w:val="0"/>
        </w:rPr>
        <w:t>本表反映本年度一般公共预算财政拨款、政府性基金预算财政拨款和国有资本经营预算财政拨款的总收支和年末结转结余情况。本表金额单位转换时可能存在尾数误差。</w:t>
      </w:r>
    </w:p>
    <w:p>
      <w:pPr>
        <w:jc w:val="both"/>
        <w:rPr>
          <w:rFonts w:hint="eastAsia" w:ascii="仿宋" w:hAnsi="仿宋" w:eastAsia="仿宋" w:cs="仿宋"/>
          <w:b w:val="0"/>
          <w:bCs w:val="0"/>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tblPrEx>
          <w:tblCellMar>
            <w:top w:w="55" w:type="dxa"/>
            <w:left w:w="55" w:type="dxa"/>
            <w:bottom w:w="55" w:type="dxa"/>
            <w:right w:w="55" w:type="dxa"/>
          </w:tblCellMar>
        </w:tblPrEx>
        <w:trPr>
          <w:trHeight w:val="321" w:hRule="atLeast"/>
        </w:trPr>
        <w:tc>
          <w:tcPr>
            <w:tcW w:w="15417"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财政拨款支出决算表（功能科目）</w:t>
            </w:r>
          </w:p>
        </w:tc>
      </w:tr>
      <w:tr>
        <w:tblPrEx>
          <w:tblCellMar>
            <w:top w:w="55" w:type="dxa"/>
            <w:left w:w="55" w:type="dxa"/>
            <w:bottom w:w="55" w:type="dxa"/>
            <w:right w:w="55" w:type="dxa"/>
          </w:tblCellMar>
        </w:tblPrEx>
        <w:trPr>
          <w:trHeight w:val="321" w:hRule="atLeast"/>
        </w:trPr>
        <w:tc>
          <w:tcPr>
            <w:tcW w:w="6300" w:type="dxa"/>
            <w:gridSpan w:val="2"/>
          </w:tcPr>
          <w:p>
            <w:pPr>
              <w:pStyle w:val="22"/>
              <w:widowControl w:val="0"/>
              <w:rPr>
                <w:rFonts w:hint="eastAsia" w:ascii="仿宋" w:hAnsi="仿宋" w:eastAsia="仿宋" w:cs="仿宋"/>
                <w:sz w:val="20"/>
              </w:rPr>
            </w:pPr>
          </w:p>
        </w:tc>
        <w:tc>
          <w:tcPr>
            <w:tcW w:w="3184" w:type="dxa"/>
          </w:tcPr>
          <w:p>
            <w:pPr>
              <w:pStyle w:val="22"/>
              <w:widowControl w:val="0"/>
              <w:rPr>
                <w:rFonts w:hint="eastAsia" w:ascii="仿宋" w:hAnsi="仿宋" w:eastAsia="仿宋" w:cs="仿宋"/>
                <w:sz w:val="27"/>
              </w:rPr>
            </w:pPr>
          </w:p>
        </w:tc>
        <w:tc>
          <w:tcPr>
            <w:tcW w:w="5933" w:type="dxa"/>
            <w:gridSpan w:val="2"/>
            <w:vAlign w:val="center"/>
          </w:tcPr>
          <w:p>
            <w:pPr>
              <w:pStyle w:val="22"/>
              <w:widowControl w:val="0"/>
              <w:jc w:val="right"/>
              <w:rPr>
                <w:rFonts w:hint="eastAsia" w:ascii="仿宋" w:hAnsi="仿宋" w:eastAsia="仿宋" w:cs="仿宋"/>
                <w:sz w:val="27"/>
              </w:rPr>
            </w:pPr>
            <w:r>
              <w:rPr>
                <w:rFonts w:hint="eastAsia" w:ascii="仿宋" w:hAnsi="仿宋" w:eastAsia="仿宋" w:cs="仿宋"/>
              </w:rPr>
              <w:t>公开05表</w:t>
            </w:r>
          </w:p>
        </w:tc>
      </w:tr>
      <w:tr>
        <w:tblPrEx>
          <w:tblCellMar>
            <w:top w:w="55" w:type="dxa"/>
            <w:left w:w="55" w:type="dxa"/>
            <w:bottom w:w="55" w:type="dxa"/>
            <w:right w:w="55" w:type="dxa"/>
          </w:tblCellMar>
        </w:tblPrEx>
        <w:trPr>
          <w:trHeight w:val="288" w:hRule="atLeast"/>
        </w:trPr>
        <w:tc>
          <w:tcPr>
            <w:tcW w:w="6300" w:type="dxa"/>
            <w:gridSpan w:val="2"/>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3184" w:type="dxa"/>
          </w:tcPr>
          <w:p>
            <w:pPr>
              <w:pStyle w:val="22"/>
              <w:widowControl w:val="0"/>
              <w:rPr>
                <w:rFonts w:hint="eastAsia" w:ascii="仿宋" w:hAnsi="仿宋" w:eastAsia="仿宋" w:cs="仿宋"/>
                <w:sz w:val="27"/>
              </w:rPr>
            </w:pPr>
          </w:p>
        </w:tc>
        <w:tc>
          <w:tcPr>
            <w:tcW w:w="2778" w:type="dxa"/>
            <w:vAlign w:val="center"/>
          </w:tcPr>
          <w:p>
            <w:pPr>
              <w:pStyle w:val="22"/>
              <w:widowControl w:val="0"/>
              <w:jc w:val="right"/>
              <w:rPr>
                <w:rFonts w:hint="eastAsia" w:ascii="仿宋" w:hAnsi="仿宋" w:eastAsia="仿宋" w:cs="仿宋"/>
                <w:sz w:val="27"/>
              </w:rPr>
            </w:pPr>
          </w:p>
        </w:tc>
        <w:tc>
          <w:tcPr>
            <w:tcW w:w="3155"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184"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本年支出合计</w:t>
            </w:r>
          </w:p>
        </w:tc>
        <w:tc>
          <w:tcPr>
            <w:tcW w:w="2778"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功能分类</w:t>
            </w:r>
          </w:p>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502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184"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2778"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3155"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栏次</w:t>
            </w:r>
          </w:p>
        </w:tc>
        <w:tc>
          <w:tcPr>
            <w:tcW w:w="318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1</w:t>
            </w:r>
          </w:p>
        </w:tc>
        <w:tc>
          <w:tcPr>
            <w:tcW w:w="27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2</w:t>
            </w:r>
          </w:p>
        </w:tc>
        <w:tc>
          <w:tcPr>
            <w:tcW w:w="3155"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3</w:t>
            </w:r>
          </w:p>
        </w:tc>
      </w:tr>
      <w:tr>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184"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8,309.96</w:t>
            </w:r>
          </w:p>
        </w:tc>
        <w:tc>
          <w:tcPr>
            <w:tcW w:w="2778"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rPr>
              <w:t>4,527.30</w:t>
            </w:r>
          </w:p>
        </w:tc>
        <w:tc>
          <w:tcPr>
            <w:tcW w:w="3155"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3,782.66</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6,728.78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3,247.67</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3,481.11</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公安</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6,728.78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3,247.67</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3,481.11</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3,247.67</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3,247.67</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其他公安支出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3,481.11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3,481.11</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268.21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268.21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268.21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268.21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178.81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178.81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89.40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89.40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1,011.42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1,011.42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1,011.42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1,011.42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319.59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319.59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691.83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691.83</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301.55</w:t>
            </w:r>
          </w:p>
        </w:tc>
      </w:tr>
    </w:tbl>
    <w:p>
      <w:pPr>
        <w:widowControl w:val="0"/>
        <w:tabs>
          <w:tab w:val="left" w:pos="0"/>
        </w:tabs>
        <w:suppressAutoHyphens/>
        <w:bidi w:val="0"/>
        <w:spacing w:before="0" w:after="0"/>
        <w:ind w:left="0" w:leftChars="0" w:right="0" w:firstLine="0" w:firstLineChars="0"/>
        <w:jc w:val="both"/>
        <w:rPr>
          <w:rFonts w:hint="eastAsia" w:ascii="仿宋" w:hAnsi="仿宋" w:eastAsia="仿宋" w:cs="仿宋"/>
          <w:b w:val="0"/>
          <w:bCs w:val="0"/>
        </w:rPr>
      </w:pPr>
      <w:r>
        <w:rPr>
          <w:rFonts w:hint="eastAsia" w:ascii="仿宋" w:hAnsi="仿宋" w:eastAsia="仿宋" w:cs="仿宋"/>
          <w:b w:val="0"/>
          <w:bCs w:val="0"/>
        </w:rPr>
        <w:t>注：本表反映本年度一般公共预算财政拨款、政府性基金预算财政拨款和国有资本经营预算财政拨款支出情况。本表金额单位转换时可能存在尾数误差。</w:t>
      </w:r>
    </w:p>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val="0"/>
          <w:bCs w:val="0"/>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tblPrEx>
          <w:tblCellMar>
            <w:top w:w="55" w:type="dxa"/>
            <w:left w:w="55" w:type="dxa"/>
            <w:bottom w:w="55" w:type="dxa"/>
            <w:right w:w="55" w:type="dxa"/>
          </w:tblCellMar>
        </w:tblPrEx>
        <w:trPr>
          <w:trHeight w:val="319" w:hRule="atLeast"/>
        </w:trPr>
        <w:tc>
          <w:tcPr>
            <w:tcW w:w="10515"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财政拨款基本支出决算表（经济科目）</w:t>
            </w:r>
          </w:p>
        </w:tc>
      </w:tr>
      <w:tr>
        <w:tblPrEx>
          <w:tblCellMar>
            <w:top w:w="55" w:type="dxa"/>
            <w:left w:w="55" w:type="dxa"/>
            <w:bottom w:w="55" w:type="dxa"/>
            <w:right w:w="55" w:type="dxa"/>
          </w:tblCellMar>
        </w:tblPrEx>
        <w:trPr>
          <w:trHeight w:val="319" w:hRule="atLeast"/>
        </w:trPr>
        <w:tc>
          <w:tcPr>
            <w:tcW w:w="4532" w:type="dxa"/>
            <w:gridSpan w:val="2"/>
          </w:tcPr>
          <w:p>
            <w:pPr>
              <w:pStyle w:val="22"/>
              <w:widowControl w:val="0"/>
              <w:rPr>
                <w:rFonts w:hint="eastAsia" w:ascii="仿宋" w:hAnsi="仿宋" w:eastAsia="仿宋" w:cs="仿宋"/>
                <w:sz w:val="20"/>
              </w:rPr>
            </w:pPr>
          </w:p>
        </w:tc>
        <w:tc>
          <w:tcPr>
            <w:tcW w:w="2047" w:type="dxa"/>
          </w:tcPr>
          <w:p>
            <w:pPr>
              <w:pStyle w:val="22"/>
              <w:widowControl w:val="0"/>
              <w:rPr>
                <w:rFonts w:hint="eastAsia" w:ascii="仿宋" w:hAnsi="仿宋" w:eastAsia="仿宋" w:cs="仿宋"/>
                <w:sz w:val="20"/>
              </w:rPr>
            </w:pPr>
          </w:p>
        </w:tc>
        <w:tc>
          <w:tcPr>
            <w:tcW w:w="2040" w:type="dxa"/>
          </w:tcPr>
          <w:p>
            <w:pPr>
              <w:pStyle w:val="22"/>
              <w:widowControl w:val="0"/>
              <w:rPr>
                <w:rFonts w:hint="eastAsia" w:ascii="仿宋" w:hAnsi="仿宋" w:eastAsia="仿宋" w:cs="仿宋"/>
                <w:sz w:val="20"/>
              </w:rPr>
            </w:pP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公开06表</w:t>
            </w:r>
          </w:p>
        </w:tc>
      </w:tr>
      <w:tr>
        <w:tblPrEx>
          <w:tblCellMar>
            <w:top w:w="55" w:type="dxa"/>
            <w:left w:w="55" w:type="dxa"/>
            <w:bottom w:w="55" w:type="dxa"/>
            <w:right w:w="55" w:type="dxa"/>
          </w:tblCellMar>
        </w:tblPrEx>
        <w:trPr>
          <w:trHeight w:val="319" w:hRule="atLeast"/>
        </w:trPr>
        <w:tc>
          <w:tcPr>
            <w:tcW w:w="8619"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江苏省公安厅交通警察总队</w:t>
            </w: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财政拨款基本支出</w:t>
            </w:r>
          </w:p>
        </w:tc>
      </w:tr>
      <w:tr>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4,527.30</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3,936.34</w:t>
            </w:r>
          </w:p>
        </w:tc>
        <w:tc>
          <w:tcPr>
            <w:tcW w:w="1896"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590.96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3,936.34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3,936.34</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464.02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2,244.46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2,244.46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371.47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371.47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288.66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288.66</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187.88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187.88</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312.82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312.82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67.03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67.03</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570.66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570.66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25.57</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115.55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115.55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32.90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32.90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52.26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52.26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25.72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25.72</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82.55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82.55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198.99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198.99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widowControl w:val="0"/>
        <w:tabs>
          <w:tab w:val="left" w:pos="660"/>
          <w:tab w:val="left" w:pos="10780"/>
        </w:tabs>
        <w:suppressAutoHyphens/>
        <w:bidi w:val="0"/>
        <w:spacing w:before="25" w:after="0" w:line="290" w:lineRule="auto"/>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注：本表反映本年度一般公共预算财政拨款、政府性基金预算财政拨款和国有资本经营预算财政拨款基本支出情况。本表金额单位转换时可能存在尾数误差。</w:t>
      </w:r>
    </w:p>
    <w:p>
      <w:pPr>
        <w:widowControl w:val="0"/>
        <w:numPr>
          <w:ilvl w:val="0"/>
          <w:numId w:val="0"/>
        </w:numPr>
        <w:suppressAutoHyphens/>
        <w:bidi w:val="0"/>
        <w:spacing w:before="0" w:after="0" w:line="255" w:lineRule="exact"/>
        <w:jc w:val="both"/>
        <w:rPr>
          <w:rFonts w:hint="eastAsia" w:ascii="仿宋" w:hAnsi="仿宋" w:eastAsia="仿宋" w:cs="仿宋"/>
          <w:b w:val="0"/>
          <w:bCs w:val="0"/>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tblPrEx>
          <w:tblCellMar>
            <w:top w:w="55" w:type="dxa"/>
            <w:left w:w="55" w:type="dxa"/>
            <w:bottom w:w="55" w:type="dxa"/>
            <w:right w:w="55" w:type="dxa"/>
          </w:tblCellMar>
        </w:tblPrEx>
        <w:trPr>
          <w:trHeight w:val="560" w:hRule="atLeast"/>
        </w:trPr>
        <w:tc>
          <w:tcPr>
            <w:tcW w:w="10446"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一般公共预算支出决算表（功能科目）</w:t>
            </w:r>
          </w:p>
        </w:tc>
      </w:tr>
      <w:tr>
        <w:tblPrEx>
          <w:tblCellMar>
            <w:top w:w="55" w:type="dxa"/>
            <w:left w:w="55" w:type="dxa"/>
            <w:bottom w:w="55" w:type="dxa"/>
            <w:right w:w="55" w:type="dxa"/>
          </w:tblCellMar>
        </w:tblPrEx>
        <w:trPr>
          <w:trHeight w:val="147" w:hRule="atLeast"/>
        </w:trPr>
        <w:tc>
          <w:tcPr>
            <w:tcW w:w="5466" w:type="dxa"/>
            <w:gridSpan w:val="2"/>
          </w:tcPr>
          <w:p>
            <w:pPr>
              <w:pStyle w:val="22"/>
              <w:widowControl w:val="0"/>
              <w:rPr>
                <w:rFonts w:hint="eastAsia" w:ascii="仿宋" w:hAnsi="仿宋" w:eastAsia="仿宋" w:cs="仿宋"/>
                <w:sz w:val="20"/>
              </w:rPr>
            </w:pPr>
          </w:p>
        </w:tc>
        <w:tc>
          <w:tcPr>
            <w:tcW w:w="1969" w:type="dxa"/>
          </w:tcPr>
          <w:p>
            <w:pPr>
              <w:pStyle w:val="22"/>
              <w:widowControl w:val="0"/>
              <w:rPr>
                <w:rFonts w:hint="eastAsia" w:ascii="仿宋" w:hAnsi="仿宋" w:eastAsia="仿宋" w:cs="仿宋"/>
                <w:sz w:val="20"/>
              </w:rPr>
            </w:pPr>
          </w:p>
        </w:tc>
        <w:tc>
          <w:tcPr>
            <w:tcW w:w="1499" w:type="dxa"/>
          </w:tcPr>
          <w:p>
            <w:pPr>
              <w:pStyle w:val="22"/>
              <w:widowControl w:val="0"/>
              <w:rPr>
                <w:rFonts w:hint="eastAsia" w:ascii="仿宋" w:hAnsi="仿宋" w:eastAsia="仿宋" w:cs="仿宋"/>
                <w:sz w:val="20"/>
              </w:rPr>
            </w:pPr>
          </w:p>
        </w:tc>
        <w:tc>
          <w:tcPr>
            <w:tcW w:w="1512"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公开07表</w:t>
            </w:r>
          </w:p>
        </w:tc>
      </w:tr>
      <w:tr>
        <w:tblPrEx>
          <w:tblCellMar>
            <w:top w:w="55" w:type="dxa"/>
            <w:left w:w="55" w:type="dxa"/>
            <w:bottom w:w="55" w:type="dxa"/>
            <w:right w:w="55" w:type="dxa"/>
          </w:tblCellMar>
        </w:tblPrEx>
        <w:trPr>
          <w:trHeight w:val="303" w:hRule="atLeast"/>
        </w:trPr>
        <w:tc>
          <w:tcPr>
            <w:tcW w:w="7435" w:type="dxa"/>
            <w:gridSpan w:val="3"/>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3011" w:type="dxa"/>
            <w:gridSpan w:val="2"/>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3</w:t>
            </w:r>
          </w:p>
        </w:tc>
      </w:tr>
      <w:tr>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8,309.96</w:t>
            </w:r>
          </w:p>
        </w:tc>
        <w:tc>
          <w:tcPr>
            <w:tcW w:w="149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4,527.30</w:t>
            </w:r>
          </w:p>
        </w:tc>
        <w:tc>
          <w:tcPr>
            <w:tcW w:w="1512" w:type="dxa"/>
            <w:tcBorders>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3,782.66</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6,728.78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3,247.67</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3,481.11</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公安</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6,728.78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3,247.67</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3,481.11</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3,247.67</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3,247.67</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其他公安支出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3,481.11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3,481.11</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268.21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268.21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268.21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268.21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178.81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178.81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89.40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89.40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1,011.42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1,011.42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1,011.42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1,011.42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319.59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319.59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691.83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691.83</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301.55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301.55</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301.55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301.55</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301.55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301.55</w:t>
            </w:r>
          </w:p>
        </w:tc>
      </w:tr>
    </w:tbl>
    <w:p>
      <w:pPr>
        <w:tabs>
          <w:tab w:val="left" w:pos="0"/>
        </w:tabs>
        <w:spacing w:before="25" w:after="0"/>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tblPrEx>
          <w:tblCellMar>
            <w:top w:w="55" w:type="dxa"/>
            <w:left w:w="55" w:type="dxa"/>
            <w:bottom w:w="55" w:type="dxa"/>
            <w:right w:w="55" w:type="dxa"/>
          </w:tblCellMar>
        </w:tblPrEx>
        <w:trPr>
          <w:trHeight w:val="319" w:hRule="atLeast"/>
        </w:trPr>
        <w:tc>
          <w:tcPr>
            <w:tcW w:w="10473" w:type="dxa"/>
            <w:gridSpan w:val="5"/>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一般公共预算基本支出决算表（经济科目）</w:t>
            </w:r>
          </w:p>
        </w:tc>
      </w:tr>
      <w:tr>
        <w:tblPrEx>
          <w:tblCellMar>
            <w:top w:w="55" w:type="dxa"/>
            <w:left w:w="55" w:type="dxa"/>
            <w:bottom w:w="55" w:type="dxa"/>
            <w:right w:w="55" w:type="dxa"/>
          </w:tblCellMar>
        </w:tblPrEx>
        <w:trPr>
          <w:trHeight w:val="199" w:hRule="atLeast"/>
        </w:trPr>
        <w:tc>
          <w:tcPr>
            <w:tcW w:w="8595" w:type="dxa"/>
            <w:gridSpan w:val="4"/>
            <w:vAlign w:val="center"/>
          </w:tcPr>
          <w:p>
            <w:pPr>
              <w:pStyle w:val="22"/>
              <w:widowControl w:val="0"/>
              <w:jc w:val="right"/>
              <w:rPr>
                <w:rFonts w:hint="eastAsia" w:ascii="仿宋" w:hAnsi="仿宋" w:eastAsia="仿宋" w:cs="仿宋"/>
                <w:color w:val="000000"/>
                <w:sz w:val="22"/>
                <w:szCs w:val="22"/>
                <w:lang w:eastAsia="zh-CN"/>
              </w:rPr>
            </w:pPr>
          </w:p>
        </w:tc>
        <w:tc>
          <w:tcPr>
            <w:tcW w:w="1878" w:type="dxa"/>
            <w:vAlign w:val="center"/>
          </w:tcPr>
          <w:p>
            <w:pPr>
              <w:pStyle w:val="22"/>
              <w:widowControl w:val="0"/>
              <w:jc w:val="right"/>
              <w:rPr>
                <w:rFonts w:hint="eastAsia" w:ascii="仿宋" w:hAnsi="仿宋" w:eastAsia="仿宋" w:cs="仿宋"/>
              </w:rPr>
            </w:pPr>
            <w:r>
              <w:rPr>
                <w:rFonts w:hint="eastAsia" w:ascii="仿宋" w:hAnsi="仿宋" w:eastAsia="仿宋" w:cs="仿宋"/>
              </w:rPr>
              <w:t>公开08表</w:t>
            </w:r>
          </w:p>
        </w:tc>
      </w:tr>
      <w:tr>
        <w:tblPrEx>
          <w:tblCellMar>
            <w:top w:w="55" w:type="dxa"/>
            <w:left w:w="55" w:type="dxa"/>
            <w:bottom w:w="55" w:type="dxa"/>
            <w:right w:w="55" w:type="dxa"/>
          </w:tblCellMar>
        </w:tblPrEx>
        <w:trPr>
          <w:trHeight w:val="320" w:hRule="atLeast"/>
        </w:trPr>
        <w:tc>
          <w:tcPr>
            <w:tcW w:w="8595"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1878"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一般公共预算财政拨款基本支出</w:t>
            </w:r>
          </w:p>
        </w:tc>
      </w:tr>
      <w:tr>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4,527.30</w:t>
            </w:r>
          </w:p>
        </w:tc>
        <w:tc>
          <w:tcPr>
            <w:tcW w:w="170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3,936.34</w:t>
            </w:r>
          </w:p>
        </w:tc>
        <w:tc>
          <w:tcPr>
            <w:tcW w:w="187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590.96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3,936.34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3,936.34</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464.02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464.02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2,244.46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2,244.46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371.47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371.47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288.66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288.66</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187.88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187.88</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312.82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312.82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67.03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67.03</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570.66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570.66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25.57</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115.55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115.55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32.90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32.90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0.11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52.26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52.26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25.72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25.72</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82.55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82.55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198.99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198.99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20.30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spacing w:before="25" w:after="0"/>
        <w:ind w:left="0" w:leftChars="0" w:right="-92" w:rightChars="-42"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注：本表反映本年度一般公共预算财政拨款基本支出情况。本表金额单位转换时可能存在尾数误差。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tblPrEx>
          <w:tblCellMar>
            <w:top w:w="55" w:type="dxa"/>
            <w:left w:w="55" w:type="dxa"/>
            <w:bottom w:w="55" w:type="dxa"/>
            <w:right w:w="55" w:type="dxa"/>
          </w:tblCellMar>
        </w:tblPrEx>
        <w:trPr>
          <w:trHeight w:val="321" w:hRule="atLeast"/>
        </w:trPr>
        <w:tc>
          <w:tcPr>
            <w:tcW w:w="16486" w:type="dxa"/>
            <w:gridSpan w:val="16"/>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en-US" w:eastAsia="zh-CN" w:bidi="zh-CN"/>
              </w:rPr>
              <w:t>财政拨款“三公”经费、会议费和培训费支出决算表</w:t>
            </w:r>
          </w:p>
        </w:tc>
      </w:tr>
      <w:tr>
        <w:tblPrEx>
          <w:tblCellMar>
            <w:top w:w="55" w:type="dxa"/>
            <w:left w:w="55" w:type="dxa"/>
            <w:bottom w:w="55" w:type="dxa"/>
            <w:right w:w="55" w:type="dxa"/>
          </w:tblCellMar>
        </w:tblPrEx>
        <w:trPr>
          <w:trHeight w:val="207" w:hRule="atLeast"/>
        </w:trPr>
        <w:tc>
          <w:tcPr>
            <w:tcW w:w="16486" w:type="dxa"/>
            <w:gridSpan w:val="16"/>
          </w:tcPr>
          <w:p>
            <w:pPr>
              <w:pStyle w:val="22"/>
              <w:widowControl w:val="0"/>
              <w:jc w:val="right"/>
              <w:rPr>
                <w:rFonts w:hint="eastAsia" w:ascii="仿宋" w:hAnsi="仿宋" w:eastAsia="仿宋" w:cs="仿宋"/>
                <w:sz w:val="20"/>
              </w:rPr>
            </w:pPr>
            <w:r>
              <w:rPr>
                <w:rFonts w:hint="eastAsia" w:ascii="仿宋" w:hAnsi="仿宋" w:eastAsia="仿宋" w:cs="仿宋"/>
              </w:rPr>
              <w:t>公开09表</w:t>
            </w:r>
          </w:p>
        </w:tc>
      </w:tr>
      <w:tr>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8274" w:type="dxa"/>
            <w:gridSpan w:val="8"/>
            <w:tcBorders>
              <w:bottom w:val="single" w:color="auto" w:sz="4" w:space="0"/>
            </w:tcBorders>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rPr>
            </w:pPr>
            <w:r>
              <w:rPr>
                <w:rFonts w:hint="eastAsia" w:ascii="仿宋" w:hAnsi="仿宋" w:eastAsia="仿宋" w:cs="仿宋"/>
                <w:lang w:val="en-US" w:eastAsia="zh-CN"/>
              </w:rPr>
              <w:t>预算数</w:t>
            </w:r>
          </w:p>
        </w:tc>
        <w:tc>
          <w:tcPr>
            <w:tcW w:w="8274"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决算数</w:t>
            </w:r>
          </w:p>
        </w:tc>
      </w:tr>
      <w:tr>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r>
      <w:tr>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pPr>
              <w:widowControl w:val="0"/>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r>
      <w:tr>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56.50</w:t>
            </w:r>
          </w:p>
        </w:tc>
        <w:tc>
          <w:tcPr>
            <w:tcW w:w="104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50.00</w:t>
            </w:r>
          </w:p>
        </w:tc>
        <w:tc>
          <w:tcPr>
            <w:tcW w:w="102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50.00</w:t>
            </w:r>
          </w:p>
        </w:tc>
        <w:tc>
          <w:tcPr>
            <w:tcW w:w="1026"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6.50</w:t>
            </w:r>
          </w:p>
        </w:tc>
        <w:tc>
          <w:tcPr>
            <w:tcW w:w="104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28.23</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25.72</w:t>
            </w:r>
          </w:p>
        </w:tc>
        <w:tc>
          <w:tcPr>
            <w:tcW w:w="1089"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25.72</w:t>
            </w:r>
          </w:p>
        </w:tc>
        <w:tc>
          <w:tcPr>
            <w:tcW w:w="104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2.51</w:t>
            </w:r>
          </w:p>
        </w:tc>
        <w:tc>
          <w:tcPr>
            <w:tcW w:w="1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16.86</w:t>
            </w:r>
          </w:p>
        </w:tc>
        <w:tc>
          <w:tcPr>
            <w:tcW w:w="102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100.00</w:t>
            </w:r>
          </w:p>
        </w:tc>
      </w:tr>
    </w:tbl>
    <w:p>
      <w:pPr>
        <w:spacing w:before="30" w:after="33"/>
        <w:ind w:left="220" w:leftChars="100" w:firstLine="0" w:firstLineChars="0"/>
        <w:rPr>
          <w:rFonts w:hint="eastAsia" w:ascii="仿宋" w:hAnsi="仿宋" w:eastAsia="仿宋" w:cs="仿宋"/>
          <w:sz w:val="22"/>
          <w:szCs w:val="22"/>
        </w:rPr>
      </w:pPr>
      <w:r>
        <w:rPr>
          <w:rFonts w:hint="eastAsia" w:ascii="仿宋" w:hAnsi="仿宋" w:eastAsia="仿宋" w:cs="仿宋"/>
          <w:sz w:val="22"/>
          <w:szCs w:val="22"/>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ascii="仿宋" w:hAnsi="仿宋" w:eastAsia="仿宋" w:cs="仿宋"/>
                <w:sz w:val="22"/>
              </w:rPr>
              <w:t>项目</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项目</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22</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15</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192</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26</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451</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243</w:t>
            </w:r>
          </w:p>
        </w:tc>
      </w:tr>
    </w:tbl>
    <w:p>
      <w:pPr>
        <w:widowControl w:val="0"/>
        <w:suppressAutoHyphens/>
        <w:bidi w:val="0"/>
        <w:spacing w:before="0" w:after="0"/>
        <w:ind w:left="0" w:leftChars="0" w:right="-2"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b w:val="0"/>
          <w:bCs w:val="0"/>
          <w:sz w:val="22"/>
          <w:szCs w:val="22"/>
        </w:rPr>
        <w:t>。</w:t>
      </w:r>
    </w:p>
    <w:p>
      <w:pPr>
        <w:widowControl w:val="0"/>
        <w:suppressAutoHyphens/>
        <w:bidi w:val="0"/>
        <w:spacing w:before="0" w:after="0"/>
        <w:ind w:left="227" w:right="0" w:firstLine="220" w:firstLineChars="100"/>
        <w:jc w:val="both"/>
        <w:rPr>
          <w:rFonts w:hint="eastAsia" w:ascii="仿宋" w:hAnsi="仿宋" w:eastAsia="仿宋" w:cs="仿宋"/>
          <w:b w:val="0"/>
          <w:bCs w:val="0"/>
          <w:sz w:val="22"/>
          <w:szCs w:val="22"/>
        </w:rPr>
        <w:sectPr>
          <w:footerReference r:id="rId16" w:type="default"/>
          <w:pgSz w:w="16838" w:h="11906" w:orient="landscape"/>
          <w:pgMar w:top="720" w:right="153" w:bottom="720" w:left="15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政府性基金预算支出决算表</w:t>
            </w:r>
          </w:p>
        </w:tc>
      </w:tr>
      <w:tr>
        <w:tblPrEx>
          <w:tblCellMar>
            <w:top w:w="55" w:type="dxa"/>
            <w:left w:w="55" w:type="dxa"/>
            <w:bottom w:w="55" w:type="dxa"/>
            <w:right w:w="55" w:type="dxa"/>
          </w:tblCellMar>
        </w:tblPrEx>
        <w:trPr>
          <w:trHeight w:val="323" w:hRule="atLeast"/>
        </w:trPr>
        <w:tc>
          <w:tcPr>
            <w:tcW w:w="8426" w:type="dxa"/>
            <w:gridSpan w:val="2"/>
          </w:tcPr>
          <w:p>
            <w:pPr>
              <w:pStyle w:val="22"/>
              <w:widowControl w:val="0"/>
              <w:rPr>
                <w:rFonts w:hint="eastAsia" w:ascii="仿宋" w:hAnsi="仿宋" w:eastAsia="仿宋" w:cs="仿宋"/>
                <w:sz w:val="20"/>
              </w:rPr>
            </w:pPr>
          </w:p>
        </w:tc>
        <w:tc>
          <w:tcPr>
            <w:tcW w:w="2684" w:type="dxa"/>
          </w:tcPr>
          <w:p>
            <w:pPr>
              <w:pStyle w:val="22"/>
              <w:widowControl w:val="0"/>
              <w:rPr>
                <w:rFonts w:hint="eastAsia" w:ascii="仿宋" w:hAnsi="仿宋" w:eastAsia="仿宋" w:cs="仿宋"/>
                <w:sz w:val="27"/>
              </w:rPr>
            </w:pPr>
          </w:p>
        </w:tc>
        <w:tc>
          <w:tcPr>
            <w:tcW w:w="2432" w:type="dxa"/>
          </w:tcPr>
          <w:p>
            <w:pPr>
              <w:pStyle w:val="22"/>
              <w:widowControl w:val="0"/>
              <w:rPr>
                <w:rFonts w:hint="eastAsia" w:ascii="仿宋" w:hAnsi="仿宋" w:eastAsia="仿宋" w:cs="仿宋"/>
                <w:sz w:val="20"/>
              </w:rPr>
            </w:pP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公开10表</w:t>
            </w:r>
          </w:p>
        </w:tc>
      </w:tr>
      <w:tr>
        <w:tblPrEx>
          <w:tblCellMar>
            <w:top w:w="55" w:type="dxa"/>
            <w:left w:w="55" w:type="dxa"/>
            <w:bottom w:w="55" w:type="dxa"/>
            <w:right w:w="55" w:type="dxa"/>
          </w:tblCellMar>
        </w:tblPrEx>
        <w:trPr>
          <w:trHeight w:val="152" w:hRule="atLeast"/>
        </w:trPr>
        <w:tc>
          <w:tcPr>
            <w:tcW w:w="13542"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rPr>
          <w:trHeight w:val="267" w:hRule="atLeast"/>
        </w:trPr>
        <w:tc>
          <w:tcPr>
            <w:tcW w:w="8426"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43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43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spacing w:before="25" w:after="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注：本表反映本年度政府性基金预算财政拨款支出情况。</w:t>
      </w:r>
    </w:p>
    <w:p>
      <w:pPr>
        <w:numPr>
          <w:ilvl w:val="0"/>
          <w:numId w:val="0"/>
        </w:numPr>
        <w:spacing w:before="25" w:after="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本单位无政府性基金预算收入支出决算，故本表为空。</w:t>
      </w:r>
    </w:p>
    <w:p>
      <w:pPr>
        <w:widowControl w:val="0"/>
        <w:numPr>
          <w:ilvl w:val="0"/>
          <w:numId w:val="0"/>
        </w:numPr>
        <w:suppressAutoHyphens/>
        <w:bidi w:val="0"/>
        <w:spacing w:before="25" w:after="0"/>
        <w:jc w:val="both"/>
        <w:rPr>
          <w:rFonts w:hint="default" w:ascii="仿宋" w:hAnsi="仿宋" w:eastAsia="仿宋" w:cs="仿宋"/>
          <w:b w:val="0"/>
          <w:bCs w:val="0"/>
          <w:sz w:val="22"/>
          <w:szCs w:val="22"/>
          <w:lang w:val="en-US" w:eastAsia="zh-CN"/>
        </w:rPr>
        <w:sectPr>
          <w:footerReference r:id="rId17"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国有资本经营预算支出决算表</w:t>
            </w:r>
          </w:p>
        </w:tc>
      </w:tr>
      <w:tr>
        <w:tblPrEx>
          <w:tblCellMar>
            <w:top w:w="55" w:type="dxa"/>
            <w:left w:w="55" w:type="dxa"/>
            <w:bottom w:w="55" w:type="dxa"/>
            <w:right w:w="55" w:type="dxa"/>
          </w:tblCellMar>
        </w:tblPrEx>
        <w:trPr>
          <w:trHeight w:val="323" w:hRule="atLeast"/>
        </w:trPr>
        <w:tc>
          <w:tcPr>
            <w:tcW w:w="8520" w:type="dxa"/>
            <w:gridSpan w:val="2"/>
          </w:tcPr>
          <w:p>
            <w:pPr>
              <w:pStyle w:val="22"/>
              <w:widowControl w:val="0"/>
              <w:rPr>
                <w:rFonts w:hint="eastAsia" w:ascii="仿宋" w:hAnsi="仿宋" w:eastAsia="仿宋" w:cs="仿宋"/>
                <w:sz w:val="20"/>
              </w:rPr>
            </w:pPr>
          </w:p>
        </w:tc>
        <w:tc>
          <w:tcPr>
            <w:tcW w:w="2510" w:type="dxa"/>
          </w:tcPr>
          <w:p>
            <w:pPr>
              <w:pStyle w:val="22"/>
              <w:widowControl w:val="0"/>
              <w:rPr>
                <w:rFonts w:hint="eastAsia" w:ascii="仿宋" w:hAnsi="仿宋" w:eastAsia="仿宋" w:cs="仿宋"/>
                <w:sz w:val="27"/>
              </w:rPr>
            </w:pPr>
          </w:p>
        </w:tc>
        <w:tc>
          <w:tcPr>
            <w:tcW w:w="2309" w:type="dxa"/>
          </w:tcPr>
          <w:p>
            <w:pPr>
              <w:pStyle w:val="22"/>
              <w:widowControl w:val="0"/>
              <w:rPr>
                <w:rFonts w:hint="eastAsia" w:ascii="仿宋" w:hAnsi="仿宋" w:eastAsia="仿宋" w:cs="仿宋"/>
                <w:sz w:val="20"/>
              </w:rPr>
            </w:pP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eastAsia="zh-CN"/>
              </w:rPr>
              <w:t>1</w:t>
            </w:r>
            <w:r>
              <w:rPr>
                <w:rFonts w:hint="eastAsia" w:ascii="仿宋" w:hAnsi="仿宋" w:eastAsia="仿宋" w:cs="仿宋"/>
              </w:rPr>
              <w:t>表</w:t>
            </w:r>
          </w:p>
        </w:tc>
      </w:tr>
      <w:tr>
        <w:tblPrEx>
          <w:tblCellMar>
            <w:top w:w="55" w:type="dxa"/>
            <w:left w:w="55" w:type="dxa"/>
            <w:bottom w:w="55" w:type="dxa"/>
            <w:right w:w="55" w:type="dxa"/>
          </w:tblCellMar>
        </w:tblPrEx>
        <w:trPr>
          <w:trHeight w:val="152" w:hRule="atLeast"/>
        </w:trPr>
        <w:tc>
          <w:tcPr>
            <w:tcW w:w="13339"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30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30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bidi w:val="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注：本表反映本年度国有资本经营预算财政拨款支出情况。</w:t>
      </w:r>
    </w:p>
    <w:p>
      <w:pPr>
        <w:numPr>
          <w:ilvl w:val="0"/>
          <w:numId w:val="0"/>
        </w:numPr>
        <w:bidi w:val="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w:t>
      </w:r>
      <w:r>
        <w:rPr>
          <w:rFonts w:hint="eastAsia" w:ascii="仿宋" w:hAnsi="仿宋" w:eastAsia="仿宋" w:cs="仿宋"/>
          <w:b w:val="0"/>
          <w:bCs w:val="0"/>
          <w:sz w:val="22"/>
          <w:szCs w:val="22"/>
        </w:rPr>
        <w:t>国有资本经营预算支出</w:t>
      </w:r>
      <w:r>
        <w:rPr>
          <w:rFonts w:hint="eastAsia" w:ascii="仿宋" w:hAnsi="仿宋" w:eastAsia="仿宋" w:cs="仿宋"/>
          <w:b w:val="0"/>
          <w:bCs w:val="0"/>
          <w:sz w:val="22"/>
          <w:szCs w:val="22"/>
          <w:lang w:val="en-US" w:eastAsia="zh-CN"/>
        </w:rPr>
        <w:t>决算，故本表为空。</w:t>
      </w:r>
    </w:p>
    <w:p>
      <w:pPr>
        <w:spacing w:before="25" w:after="0"/>
        <w:ind w:left="-220" w:leftChars="-100" w:firstLine="0" w:firstLineChars="0"/>
        <w:jc w:val="both"/>
        <w:rPr>
          <w:rFonts w:hint="default" w:ascii="仿宋" w:hAnsi="仿宋" w:eastAsia="仿宋" w:cs="仿宋"/>
          <w:b w:val="0"/>
          <w:bCs w:val="0"/>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tblPrEx>
          <w:tblCellMar>
            <w:top w:w="55" w:type="dxa"/>
            <w:left w:w="55" w:type="dxa"/>
            <w:bottom w:w="55" w:type="dxa"/>
            <w:right w:w="55" w:type="dxa"/>
          </w:tblCellMar>
        </w:tblPrEx>
        <w:trPr>
          <w:trHeight w:val="319" w:hRule="atLeast"/>
        </w:trPr>
        <w:tc>
          <w:tcPr>
            <w:tcW w:w="10466" w:type="dxa"/>
            <w:gridSpan w:val="3"/>
          </w:tcPr>
          <w:p>
            <w:pPr>
              <w:pStyle w:val="22"/>
              <w:widowControl w:val="0"/>
              <w:tabs>
                <w:tab w:val="left" w:pos="610"/>
              </w:tabs>
              <w:spacing w:before="28" w:after="0"/>
              <w:ind w:left="8" w:firstLine="0"/>
              <w:jc w:val="center"/>
              <w:rPr>
                <w:rFonts w:hint="eastAsia" w:ascii="仿宋" w:hAnsi="仿宋" w:eastAsia="仿宋" w:cs="仿宋"/>
                <w:b/>
                <w:bCs/>
                <w:sz w:val="44"/>
                <w:szCs w:val="44"/>
              </w:rPr>
            </w:pPr>
            <w:r>
              <w:rPr>
                <w:rFonts w:hint="eastAsia" w:cs="宋体"/>
                <w:b/>
                <w:bCs/>
                <w:color w:val="000000"/>
                <w:kern w:val="0"/>
                <w:sz w:val="36"/>
                <w:szCs w:val="36"/>
                <w:lang w:val="en-US" w:eastAsia="ar-SA" w:bidi="zh-CN"/>
              </w:rPr>
              <w:t>财政拨款</w:t>
            </w:r>
            <w:r>
              <w:rPr>
                <w:rFonts w:hint="eastAsia" w:ascii="宋体" w:hAnsi="宋体" w:eastAsia="宋体" w:cs="宋体"/>
                <w:b/>
                <w:bCs/>
                <w:color w:val="000000"/>
                <w:kern w:val="0"/>
                <w:sz w:val="36"/>
                <w:szCs w:val="36"/>
                <w:lang w:val="zh-CN" w:eastAsia="ar-SA" w:bidi="zh-CN"/>
              </w:rPr>
              <w:t>机关运行经费支出决算表</w:t>
            </w:r>
          </w:p>
        </w:tc>
      </w:tr>
      <w:tr>
        <w:tblPrEx>
          <w:tblCellMar>
            <w:top w:w="55" w:type="dxa"/>
            <w:left w:w="55" w:type="dxa"/>
            <w:bottom w:w="55" w:type="dxa"/>
            <w:right w:w="55" w:type="dxa"/>
          </w:tblCellMar>
        </w:tblPrEx>
        <w:trPr>
          <w:trHeight w:val="90" w:hRule="atLeast"/>
        </w:trPr>
        <w:tc>
          <w:tcPr>
            <w:tcW w:w="6632" w:type="dxa"/>
            <w:gridSpan w:val="2"/>
          </w:tcPr>
          <w:p>
            <w:pPr>
              <w:pStyle w:val="22"/>
              <w:widowControl w:val="0"/>
              <w:rPr>
                <w:rFonts w:hint="eastAsia" w:ascii="仿宋" w:hAnsi="仿宋" w:eastAsia="仿宋" w:cs="仿宋"/>
                <w:sz w:val="20"/>
              </w:rPr>
            </w:pPr>
          </w:p>
        </w:tc>
        <w:tc>
          <w:tcPr>
            <w:tcW w:w="3834"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6632" w:type="dxa"/>
            <w:gridSpan w:val="2"/>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3834"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机关运行经费支出决算</w:t>
            </w:r>
          </w:p>
        </w:tc>
      </w:tr>
      <w:tr>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834"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834"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590.95</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570.66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25.57</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21.89</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咨询费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3.26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115.55</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32.90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4.78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0.11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0.38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2.51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52.26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4.20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25.72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82.55</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198.99</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20.30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20.30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spacing w:before="25" w:after="0"/>
        <w:ind w:left="0" w:leftChars="0" w:right="-92" w:rightChars="-42"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注：“机关运行经费” 指行政单位（含参照公务员法管理的事业单位）使用</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lang w:val="en-US" w:eastAsia="zh-CN"/>
        </w:rPr>
        <w:sectPr>
          <w:footerReference r:id="rId18" w:type="default"/>
          <w:type w:val="continuous"/>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tblPrEx>
          <w:tblCellMar>
            <w:top w:w="55" w:type="dxa"/>
            <w:left w:w="55" w:type="dxa"/>
            <w:bottom w:w="55" w:type="dxa"/>
            <w:right w:w="55" w:type="dxa"/>
          </w:tblCellMar>
        </w:tblPrEx>
        <w:trPr>
          <w:trHeight w:val="333" w:hRule="atLeast"/>
        </w:trPr>
        <w:tc>
          <w:tcPr>
            <w:tcW w:w="10459" w:type="dxa"/>
            <w:gridSpan w:val="4"/>
            <w:vAlign w:val="center"/>
          </w:tcPr>
          <w:p>
            <w:pPr>
              <w:pStyle w:val="22"/>
              <w:widowControl w:val="0"/>
              <w:bidi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政府采购支出决算表</w:t>
            </w:r>
          </w:p>
        </w:tc>
      </w:tr>
      <w:tr>
        <w:tblPrEx>
          <w:tblCellMar>
            <w:top w:w="55" w:type="dxa"/>
            <w:left w:w="55" w:type="dxa"/>
            <w:bottom w:w="55" w:type="dxa"/>
            <w:right w:w="55" w:type="dxa"/>
          </w:tblCellMar>
        </w:tblPrEx>
        <w:trPr>
          <w:trHeight w:val="333" w:hRule="atLeast"/>
        </w:trPr>
        <w:tc>
          <w:tcPr>
            <w:tcW w:w="4472" w:type="dxa"/>
          </w:tcPr>
          <w:p>
            <w:pPr>
              <w:pStyle w:val="22"/>
              <w:widowControl w:val="0"/>
              <w:bidi w:val="0"/>
              <w:rPr>
                <w:rFonts w:hint="eastAsia" w:ascii="仿宋" w:hAnsi="仿宋" w:eastAsia="仿宋" w:cs="仿宋"/>
              </w:rPr>
            </w:pPr>
          </w:p>
        </w:tc>
        <w:tc>
          <w:tcPr>
            <w:tcW w:w="722" w:type="dxa"/>
          </w:tcPr>
          <w:p>
            <w:pPr>
              <w:pStyle w:val="22"/>
              <w:widowControl w:val="0"/>
              <w:rPr>
                <w:rFonts w:hint="eastAsia" w:ascii="仿宋" w:hAnsi="仿宋" w:eastAsia="仿宋" w:cs="仿宋"/>
              </w:rPr>
            </w:pPr>
          </w:p>
        </w:tc>
        <w:tc>
          <w:tcPr>
            <w:tcW w:w="1992" w:type="dxa"/>
          </w:tcPr>
          <w:p>
            <w:pPr>
              <w:pStyle w:val="22"/>
              <w:widowControl w:val="0"/>
              <w:rPr>
                <w:rFonts w:hint="eastAsia" w:ascii="仿宋" w:hAnsi="仿宋" w:eastAsia="仿宋" w:cs="仿宋"/>
              </w:rPr>
            </w:pP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7186" w:type="dxa"/>
            <w:gridSpan w:val="3"/>
          </w:tcPr>
          <w:p>
            <w:pPr>
              <w:pStyle w:val="22"/>
              <w:widowControl w:val="0"/>
              <w:bidi w:val="0"/>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江苏省公安厅交通警察总队</w:t>
            </w: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pPr>
              <w:pStyle w:val="22"/>
              <w:widowControl w:val="0"/>
              <w:bidi w:val="0"/>
              <w:jc w:val="center"/>
              <w:rPr>
                <w:rFonts w:hint="eastAsia" w:ascii="仿宋" w:hAnsi="仿宋" w:eastAsia="仿宋" w:cs="仿宋"/>
                <w:lang w:val="en-US" w:eastAsia="zh-CN"/>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1,651.10</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293.00</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1,358.10</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bidi w:val="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政府采购支出信息为单位纳入部门预算范围的各项政府采购支出情况。本表金额单位转换时可能存在尾数误差</w:t>
      </w:r>
      <w:r>
        <w:rPr>
          <w:rFonts w:hint="eastAsia" w:ascii="仿宋" w:hAnsi="仿宋" w:eastAsia="仿宋" w:cs="仿宋"/>
          <w:b w:val="0"/>
          <w:bCs w:val="0"/>
          <w:sz w:val="22"/>
          <w:szCs w:val="22"/>
        </w:rPr>
        <w:t>。</w:t>
      </w:r>
    </w:p>
    <w:p>
      <w:pPr>
        <w:numPr>
          <w:ilvl w:val="0"/>
          <w:numId w:val="0"/>
        </w:numPr>
        <w:bidi w:val="0"/>
        <w:ind w:left="440" w:leftChars="200" w:firstLine="0" w:firstLineChars="0"/>
        <w:jc w:val="both"/>
        <w:rPr>
          <w:rFonts w:hint="eastAsia" w:ascii="仿宋" w:hAnsi="仿宋" w:eastAsia="仿宋" w:cs="仿宋"/>
          <w:b w:val="0"/>
          <w:bCs w:val="0"/>
          <w:sz w:val="22"/>
          <w:szCs w:val="22"/>
        </w:rPr>
        <w:sectPr>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outlineLvl w:val="0"/>
        <w:rPr>
          <w:rFonts w:hint="eastAsia" w:ascii="宋体" w:hAnsi="宋体" w:eastAsia="宋体" w:cs="宋体"/>
          <w:b/>
          <w:bCs/>
          <w:color w:val="000000"/>
          <w:kern w:val="0"/>
          <w:sz w:val="36"/>
          <w:szCs w:val="36"/>
          <w:lang w:val="zh-CN" w:eastAsia="ar-SA" w:bidi="zh-CN"/>
        </w:rPr>
      </w:pPr>
      <w:r>
        <w:rPr>
          <w:rFonts w:hint="eastAsia" w:ascii="宋体" w:hAnsi="宋体" w:eastAsia="宋体" w:cs="宋体"/>
          <w:b/>
          <w:bCs/>
          <w:color w:val="000000"/>
          <w:kern w:val="0"/>
          <w:sz w:val="36"/>
          <w:szCs w:val="36"/>
          <w:lang w:val="zh-CN" w:eastAsia="ar-SA" w:bidi="zh-CN"/>
        </w:rPr>
        <w:t>第三部分</w:t>
      </w:r>
      <w:r>
        <w:rPr>
          <w:rFonts w:hint="eastAsia" w:ascii="宋体" w:hAnsi="宋体" w:eastAsia="宋体" w:cs="宋体"/>
          <w:b/>
          <w:bCs/>
          <w:color w:val="000000"/>
          <w:kern w:val="0"/>
          <w:sz w:val="36"/>
          <w:szCs w:val="36"/>
          <w:lang w:val="en-US" w:eastAsia="zh-CN" w:bidi="zh-CN"/>
        </w:rPr>
        <w:t xml:space="preserve"> </w:t>
      </w:r>
      <w:r>
        <w:rPr>
          <w:rFonts w:hint="eastAsia" w:ascii="宋体" w:hAnsi="宋体" w:eastAsia="宋体" w:cs="宋体"/>
          <w:b/>
          <w:bCs/>
          <w:color w:val="000000"/>
          <w:kern w:val="0"/>
          <w:sz w:val="36"/>
          <w:szCs w:val="36"/>
          <w:lang w:val="zh-CN" w:eastAsia="zh-CN" w:bidi="zh-CN"/>
        </w:rPr>
        <w:t>2022</w:t>
      </w:r>
      <w:r>
        <w:rPr>
          <w:rFonts w:hint="eastAsia" w:ascii="宋体" w:hAnsi="宋体" w:eastAsia="宋体" w:cs="宋体"/>
          <w:b/>
          <w:bCs/>
          <w:color w:val="000000"/>
          <w:kern w:val="0"/>
          <w:sz w:val="36"/>
          <w:szCs w:val="36"/>
          <w:lang w:val="zh-CN" w:eastAsia="ar-SA" w:bidi="zh-CN"/>
        </w:rPr>
        <w:t>年度</w:t>
      </w:r>
      <w:r>
        <w:rPr>
          <w:rFonts w:ascii="宋体" w:hAnsi="宋体" w:eastAsia="宋体" w:cs="宋体"/>
          <w:b/>
          <w:color w:val="000000"/>
          <w:sz w:val="36"/>
        </w:rPr>
        <w:t>单位决算情况说明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2022年度收入、支出决算总计14,585.47万元。与上年相比，收、支总计各减少424.67万元，减少2.83%。其中：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（一）收入决算总计14,585.47万元。包括：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1.本年收入决算合计7,986.93万元。与上年相比，减少2,904.21万元，减少26.67%，变动原因：上年省财政追加省级公安交通管理综合应用平台和互联网交通安全综合服务管理平台项目2900万，本年无此项目。</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2.使用非财政拨款结余0万元。与上年决算数相同。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3.年初结转和结余6,598.54万元。与上年相比，增加2,479.55万元，增长60.2%，变动原因：科技信息化项目尚未竣工或已竣工但未触发付款规则条限未付款导致结余结转增加。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（二）支出决算总计14,585.47万元。包括：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1.本年支出决算合计8,309.99万元。与上年相比，增加636.99万元，增长8.3%，变动原因：人员经费、交管科技信息化建设项目支出增加。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2.结余分配0万元。与上年决算数相同。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末结转和结余6,275.48万元。结转和结余事项：交管科技信息化建设项目等结转结余。与上年相比，减少1,061.66万元，减少14.47%，变动原因：省财政追加省级公安交通管理综合应用平台和互联网交通安全综合服务管理平台项目结余结转导致上年结余结转增加。以及上年因项目建设进度较小，本年加快各项目建设，支出增加，结余结转减少。</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收入决算合计7,986.93万元，其中：财政拨款收入7,986.93万元，占100%；上级补助收入0万元，占0%；财政专户管理教育收费0万元，占0%；事业收入（不含专户管理教育收费）0万元，占0%；经营收入0万元，占0%；附属单位上缴收入0万元，占0%；其他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2022年度本年支出决算合计8,309.99万元，其中：基本支出4,527.3万元，占54.48%；项目支出3,782.69万元，占45.52%；上缴上级支出0万元，占0%；经营支出0万元，占0%；对附属单位补助支出0万元，占0%。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2022年度财政拨款收入、支出决算总计10,617.11万元。与上年相比，收、支总计各减少424.67万元，减少3.85%，变动原因：响应财政压减资金开支，减少不必要财政经费支出。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2022年度财政拨款支出决算8,309.96万元，占本年支出合计的100%（该占比四舍五入后为100%）。与2022年度财政拨款支出年初预算7,627.58万元相比，完成年初预算的108.95%。其中：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（一）公共安全支出（类）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1.公安（款）行政运行（项）。年初预算2,533.95万元，支出决算3,247.67万元，完成年初预算的128.17%。决算数与年初预算数的差异原因：部分资金使用上年度结余结转资金。</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安（款）其他公安支出（项）。年初预算3,814万元，支出决算3,481.11万元，完成年初预算的91.27%。决算数与年初预算数的差异原因：运行项目因尚在建设或已建设竣工但未达到触发付款条件的无法付款，故而造成差异。</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（二）社会保障和就业支出（类）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1.行政事业单位养老支出（款）机关事业单位基本养老保险缴费支出（项）。年初预算178.81万元，支出决算178.81万元，完成年初预算的100%。决算数与年初预算数相同。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2.行政事业单位养老支出（款）机关事业单位职业年金缴费支出（项）。年初预算89.4万元，支出决算89.4万元，完成年初预算的100%。决算数与年初预算数相同。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（三）住房保障支出（类）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1.住房改革支出（款）住房公积金（项）。年初预算319.59万元，支出决算319.59万元，完成年初预算的100%。决算数与年初预算数相同。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2.住房改革支出（款）提租补贴（项）。年初预算691.83万元，支出决算691.83万元，完成年初预算的100%。决算数与年初预算数相同。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（四）其他支出（类）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其他支出（款）其他支出（项）。年初预算0万元，支出决算301.55万元，（年初预算数为0万元，无法计算完成比率）决算数与年初预算数的差异原因：资本性支出科技网络及软件购置更新经费增加。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2022年度财政拨款基本支出决算4,527.3万元，其中：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（一）人员经费3,936.34万元。</w:t>
      </w:r>
      <w:r>
        <w:rPr>
          <w:rFonts w:ascii="仿宋" w:hAnsi="仿宋" w:eastAsia="仿宋" w:cs="仿宋"/>
        </w:rPr>
        <w:t>主要包括：基本工资、津贴补贴、奖金、机关事业单位基本养老保险缴费、职业年金缴费、住房公积金、其他工资福利支出。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（二）公用经费590.96万元。</w:t>
      </w:r>
      <w:r>
        <w:rPr>
          <w:rFonts w:ascii="仿宋" w:hAnsi="仿宋" w:eastAsia="仿宋" w:cs="仿宋"/>
        </w:rPr>
        <w:t>主要包括：办公费、印刷费、邮电费、差旅费、维修（护）费、租赁费、会议费、培训费、公务接待费、专用材料费、劳务费、公务用车运行维护费、其他交通费用、其他商品和服务支出、办公设备购置。</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2022年度一般公共预算财政拨款支出决算8,309.96万元。与上年相比，增加636.96万元，增长8.3%，变动原因：部分资金使用上年度结余结转资金。</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2022年度一般公共预算财政拨款基本支出决算4,527.3万元，其中：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（一）人员经费3,936.34万元。</w:t>
      </w:r>
      <w:r>
        <w:rPr>
          <w:rFonts w:ascii="仿宋" w:hAnsi="仿宋" w:eastAsia="仿宋" w:cs="仿宋"/>
        </w:rPr>
        <w:t>主要包括：基本工资、津贴补贴、奖金、机关事业单位基本养老保险缴费、职业年金缴费、住房公积金、其他工资福利支出。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（二）公用经费590.96万元。</w:t>
      </w:r>
      <w:r>
        <w:rPr>
          <w:rFonts w:ascii="仿宋" w:hAnsi="仿宋" w:eastAsia="仿宋" w:cs="仿宋"/>
        </w:rPr>
        <w:t>主要包括：办公费、印刷费、邮电费、差旅费、维修（护）费、租赁费、会议费、培训费、公务接待费、专用材料费、劳务费、公务用车运行维护费、其他交通费用、其他商品和服务支出、办公设备购置。</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九、财政拨款“三公”经费、会议费和培训费支出情况说明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（一）财政拨款“三公”经费支出总体情况说明。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三公”经费支出决算28.23万元（其中：一般公共预算支出28.23万元；政府性基金预算支出0万元；国有资本经营预算支出0万元）。与上年相比，减少37.89万元，变动原因：响应财政压减开支等原因，经费减少。其中，因公出国（境）费支出0万元，占“三公”经费的0%；公务用车购置及运行维护费支出25.72万元，占“三公”经费的91.11%；公务接待费支出2.51万元，占“三公”经费的8.89%。</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（二）财政拨款“三公”经费支出具体情况说明。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预算的100%，决算数与预算数相同。全年使用财政拨款涉及的出国（境）团组0个，累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支出预算50万元（其中：一般公共预算支出50万元；政府性基金预算支出0万元；国有资本经营预算支出0万元），支出决算25.72万元（其中：一般公共预算支出25.72万元；政府性基金预算支出0万元；国有资本经营预算支出0万元），完成预算的51.44%，决算数与预算数的差异原因：公车运行维护措施压降明显有效，部分公车运行维护支出尚未清算。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（1）公务用车购置支出决算0万元。本年度使用财政拨款购置公务用车0辆。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支出决算25.72万元。公务用车运行维护费主要用于按规定保留的公务用车的燃料费、维修费、过桥过路费、保险费、安全奖励费用等支出。截至2022年12月31日，使用财政拨款开支的公务用车保有量为22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支出预算6.5万元（其中：一般公共预算支出6.5万元；政府性基金预算支出0万元；国有资本经营预算支出0万元），支出决算2.51万元（其中：一般公共预算支出2.51万元；政府性基金预算支出0万元；国有资本经营预算支出0万元），完成预算的38.62%，决算数与预算数的差异原因：公务接待措施压降明显有效，部分公务接待支出尚未清算。其中：国内公务接待支出2.51万元，接待15批次，192人次，开支内容：接待外省份总队在本总队期间发生的公务接待费用等；国（境）外公务接待支出0万元，接待0批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（三）财政拨款会议费支出决算情况说明。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会议费支出预算0万元（其中：一般公共预算支出0万元；政府性基金预算支出0万元；国有资本经营预算支出0万元），支出决算16.86万元（其中：一般公共预算支出16.86万元；政府性基金预算支出0万元；国有资本经营预算支出0万元），（预算数为0万元，无法计算完成比率），决算数与预算数的差异原因：用上年结转会议费用列支。2022年度全年召开会议26个，参加会议451人次，开支内容：全省公安交通管理工作会议、防控输入性交通安全风险工作专题部署会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（四）财政拨款培训费支出决算情况说明。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培训费支出预算0万元（其中：一般公共预算支出0万元；政府性基金预算支出0万元；国有资本经营预算支出0万元），支出决算100万元（其中：一般公共预算支出100万元；政府性基金预算支出0万元；国有资本经营预算支出0万元），（预算数为0万元，无法计算完成比率），决算数与预算数的差异原因：用上年结转培训费用列支。2022年度全年组织培训4个，组织培训243人次，开支内容：全省农村交警中队长培训班（一期）、（二期）、新媒体培训营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2022年度政府性基金预算财政拨款支出决算0万元。与上年决算数相同。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2022年度国有资本经营预算财政拨款支出决算0万元。与上年决算数相同。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十二、财政拨款机关运行经费支出决算情况说明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机关运行经费支出决算590.95万元（其中：一般公共预算支出590.95万元；政府性基金预算支出0万元；国有资本经营预算支出0万元）。与上年相比，增加34.7万元，增长6.24%，变动原因：总队部分资产到达检修维保年限，故而机关运行经费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采购支出总额1,651.1万元，其中：政府采购货物支出293万元、政府采购工程支出0万元、政府采购服务支出1,358.1万元。政府采购授予中小企业合同金额0万元，占政府采购支出总额的0%，其中：授予小微企业合同金额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本单位共有车辆22辆，其中，一般公务用车0辆、执法执勤用车20辆、特种专业技术用车0辆、业务用车0辆、其他用车2辆等。单价100万元（含）以上的设备0台（不含车辆）。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十五、预算绩效评价工作开展情况</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2022年度，本单位共0个项目开展了财政绩效评价，涉及财政性资金合计0万元；本单位未开展单位整体支出财政绩效评价，涉及财政性资金0万元。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2022年度，本单位共5个项目开展了绩效自评价，涉及财政性资金合计2,380万元；本单位共开展1项单位整体支出绩效自评价，涉及财政性资金合计6,193.58万元。</w:t>
      </w:r>
    </w:p>
    <w:p>
      <w:pPr>
        <w:pStyle w:val="5"/>
        <w:tabs>
          <w:tab w:val="left" w:pos="3077"/>
        </w:tabs>
        <w:spacing w:line="616"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rPr>
        <w:t>第四部分 名词</w:t>
      </w:r>
      <w:r>
        <w:rPr>
          <w:rFonts w:hint="eastAsia" w:ascii="宋体" w:hAnsi="宋体" w:eastAsia="宋体" w:cs="宋体"/>
          <w:b/>
          <w:bCs/>
          <w:color w:val="000000"/>
          <w:kern w:val="0"/>
          <w:sz w:val="36"/>
          <w:szCs w:val="36"/>
          <w:lang w:val="zh-CN" w:eastAsia="ar-SA" w:bidi="zh-CN"/>
        </w:rPr>
        <w:t>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八、使用非财政拨款结余</w:t>
      </w:r>
      <w:r>
        <w:rPr>
          <w:rFonts w:ascii="仿宋" w:hAnsi="仿宋" w:eastAsia="仿宋" w:cs="仿宋"/>
          <w:b/>
        </w:rPr>
        <w:t>：</w:t>
      </w:r>
      <w:r>
        <w:rPr>
          <w:rFonts w:hint="eastAsia" w:ascii="仿宋" w:hAnsi="仿宋" w:eastAsia="仿宋" w:cs="仿宋"/>
        </w:rPr>
        <w:t>指事业单位按照预算管理要求使用非财政拨款结余（原事业基金）弥补当年收支差额的数额。</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十九、公共安全支出(类)公安(款)行政运行(项)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二十、公共安全支出(类)公安(款)其他公安支出(项)</w:t>
      </w:r>
      <w:r>
        <w:rPr>
          <w:rFonts w:ascii="仿宋" w:hAnsi="仿宋" w:eastAsia="仿宋" w:cs="仿宋"/>
          <w:b/>
        </w:rPr>
        <w:t>：</w:t>
      </w:r>
      <w:r>
        <w:rPr>
          <w:rFonts w:hint="eastAsia" w:ascii="仿宋" w:hAnsi="仿宋" w:eastAsia="仿宋" w:cs="仿宋"/>
        </w:rPr>
        <w:t>反映除上述项目以外其他用于公安方面的支出。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二十四、住房保障支出(类)住房改革支出(款)提租补贴(项)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二十五、其他支出(类)其他支出(款)其他支出(项)</w:t>
      </w:r>
      <w:r>
        <w:rPr>
          <w:rFonts w:ascii="仿宋" w:hAnsi="仿宋" w:eastAsia="仿宋" w:cs="仿宋"/>
          <w:b/>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DejaVu Sans"/>
    <w:panose1 w:val="020B0604020202020204"/>
    <w:charset w:val="86"/>
    <w:family w:val="roman"/>
    <w:pitch w:val="default"/>
    <w:sig w:usb0="00000000" w:usb1="00000000" w:usb2="0000003F" w:usb3="00000000" w:csb0="603F01FF" w:csb1="FFFF0000"/>
  </w:font>
  <w:font w:name="Liberation Sans">
    <w:panose1 w:val="020B0604020202020204"/>
    <w:charset w:val="86"/>
    <w:family w:val="roman"/>
    <w:pitch w:val="default"/>
    <w:sig w:usb0="A00002AF" w:usb1="500078FB" w:usb2="00000000" w:usb3="00000000" w:csb0="6000009F" w:csb1="DFD70000"/>
  </w:font>
  <w:font w:name="Liberation Mono">
    <w:panose1 w:val="02070409020205020404"/>
    <w:charset w:val="86"/>
    <w:family w:val="roman"/>
    <w:pitch w:val="default"/>
    <w:sig w:usb0="A00002AF" w:usb1="400078FB" w:usb2="00000000" w:usb3="00000000" w:csb0="6000009F" w:csb1="DFD70000"/>
  </w:font>
  <w:font w:name="新宋体">
    <w:altName w:val="方正书宋_GBK"/>
    <w:panose1 w:val="02010609030101010101"/>
    <w:charset w:val="86"/>
    <w:family w:val="auto"/>
    <w:pitch w:val="default"/>
    <w:sig w:usb0="00000000" w:usb1="00000000" w:usb2="0000000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J0Aw3PKAQAAnAMAAA4AAAAA&#10;AAAAAQAgAAAANAEAAGRycy9lMm9Eb2MueG1sUEsFBgAAAAAGAAYAWQEAAHAFA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DBrC0AywEAAJwDAAAOAAAA&#10;AAAAAAEAIAAAADQBAABkcnMvZTJvRG9jLnhtbFBLBQYAAAAABgAGAFkBAABxBQ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HrhW+nKAQAAnAMAAA4AAAAA&#10;AAAAAQAgAAAANAEAAGRycy9lMm9Eb2MueG1sUEsFBgAAAAAGAAYAWQEAAHA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Bd+n5vKAQAAnAMAAA4AAAAA&#10;AAAAAQAgAAAANAEAAGRycy9lMm9Eb2MueG1sUEsFBgAAAAAGAAYAWQEAAHA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HCj15/KAQAAnAMAAA4AAAAA&#10;AAAAAQAgAAAANAEAAGRycy9lMm9Eb2MueG1sUEsFBgAAAAAGAAYAWQEAAHA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BPze5zKAQAAnAMAAA4AAAAA&#10;AAAAAQAgAAAANAEAAGRycy9lMm9Eb2MueG1sUEsFBgAAAAAGAAYAWQEAAHA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Nn+4CrKAQAAnAMAAA4AAAAA&#10;AAAAAQAgAAAANAEAAGRycy9lMm9Eb2MueG1sUEsFBgAAAAAGAAYAWQEAAHA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IU+CAckBAACdAwAADgAAAAAA&#10;AAABACAAAAA0AQAAZHJzL2Uyb0RvYy54bWxQSwUGAAAAAAYABgBZAQAAbw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DrQhm3ywEAAJ0DAAAOAAAA&#10;AAAAAAEAIAAAADQBAABkcnMvZTJvRG9jLnhtbFBLBQYAAAAABgAGAFkBAABx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D0UsW3ywEAAJ0DAAAOAAAA&#10;AAAAAAEAIAAAADQBAABkcnMvZTJvRG9jLnhtbFBLBQYAAAAABgAGAFkBAABx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A+X14BywEAAJ0DAAAOAAAA&#10;AAAAAAEAIAAAADQBAABkcnMvZTJvRG9jLnhtbFBLBQYAAAAABgAGAFkBAABx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DKcn22ywEAAJ0DAAAOAAAA&#10;AAAAAAEAIAAAADQBAABkcnMvZTJvRG9jLnhtbFBLBQYAAAAABgAGAFkBAABx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DQZirMwBAACdAwAADgAA&#10;AAAAAAABACAAAAA0AQAAZHJzL2Uyb0RvYy54bWxQSwUGAAAAAAYABgBZAQAAc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rPr>
      <w:t>江苏省公安厅交通警察总队</w:t>
    </w:r>
    <w:r>
      <w:t>2022年度单位决算公开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NWYwNGFmYzNiMTMwMzI4MzFhMzI2ZWRjOTFjMmMifQ=="/>
  </w:docVars>
  <w:rsids>
    <w:rsidRoot w:val="00000000"/>
    <w:rsid w:val="00064984"/>
    <w:rsid w:val="00071789"/>
    <w:rsid w:val="000C024B"/>
    <w:rsid w:val="000F12AB"/>
    <w:rsid w:val="001C31F9"/>
    <w:rsid w:val="002E63B1"/>
    <w:rsid w:val="00407CA7"/>
    <w:rsid w:val="00413AD8"/>
    <w:rsid w:val="004C0647"/>
    <w:rsid w:val="00671ED7"/>
    <w:rsid w:val="00672164"/>
    <w:rsid w:val="006732F1"/>
    <w:rsid w:val="007C0F2D"/>
    <w:rsid w:val="008322BB"/>
    <w:rsid w:val="00867423"/>
    <w:rsid w:val="008B5B05"/>
    <w:rsid w:val="009965EA"/>
    <w:rsid w:val="00A6752E"/>
    <w:rsid w:val="00B92181"/>
    <w:rsid w:val="00BD7F33"/>
    <w:rsid w:val="00C15920"/>
    <w:rsid w:val="00C82582"/>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252C7"/>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345F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31D86"/>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386236"/>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9B3721"/>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D0397"/>
    <w:rsid w:val="51595CED"/>
    <w:rsid w:val="516445A0"/>
    <w:rsid w:val="518956A9"/>
    <w:rsid w:val="51E101BC"/>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35B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7B12A6"/>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00E6E"/>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E5CA6"/>
    <w:rsid w:val="6E7C11B5"/>
    <w:rsid w:val="6E7C32EF"/>
    <w:rsid w:val="6E7F556F"/>
    <w:rsid w:val="6E997C25"/>
    <w:rsid w:val="6E9F07E1"/>
    <w:rsid w:val="6EA14A30"/>
    <w:rsid w:val="6EA42846"/>
    <w:rsid w:val="6EB6105A"/>
    <w:rsid w:val="6EBA00D3"/>
    <w:rsid w:val="6EBD1212"/>
    <w:rsid w:val="6EC629FF"/>
    <w:rsid w:val="6EC7282F"/>
    <w:rsid w:val="6EC922AC"/>
    <w:rsid w:val="6ED21161"/>
    <w:rsid w:val="6F04413C"/>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2757</Words>
  <Characters>7652</Characters>
  <Paragraphs>501</Paragraphs>
  <TotalTime>0</TotalTime>
  <ScaleCrop>false</ScaleCrop>
  <LinksUpToDate>false</LinksUpToDate>
  <CharactersWithSpaces>7672</CharactersWithSpaces>
  <Application>WPS Office_11.8.2.10953_F1E327BC-269C-435d-A152-05C5408002CA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2021-04-16T11:22:00Z</dcterms:created>
  <dc:creator>陈长军(本处室套红)</dc:creator>
  <cp:lastModifiedBy>user</cp:lastModifiedBy>
  <dcterms:modified xsi:type="dcterms:W3CDTF">2026-09-23T10:10:21Z</dcterms:modified>
  <dc:title>部门决算公开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4D42579FBF314997BB974E44B0054564</vt:lpwstr>
  </property>
  <property fmtid="{D5CDD505-2E9C-101B-9397-08002B2CF9AE}" pid="5" name="KSOProductBuildVer">
    <vt:lpwstr>2052-11.8.2.10953</vt:lpwstr>
  </property>
  <property fmtid="{D5CDD505-2E9C-101B-9397-08002B2CF9AE}" pid="6" name="LastSaved">
    <vt:filetime>2021-04-15T00:00:00Z</vt:filetime>
  </property>
</Properties>
</file>