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2" w:hRule="atLeast"/>
        </w:trPr>
        <w:tc>
          <w:tcPr>
            <w:tcW w:w="10402" w:type="dxa"/>
            <w:tcBorders>
              <w:top w:val="nil"/>
              <w:left w:val="nil"/>
              <w:bottom w:val="nil"/>
              <w:right w:val="nil"/>
            </w:tcBorders>
          </w:tcPr>
          <w:p>
            <w:pPr>
              <w:pStyle w:val="8"/>
              <w:spacing w:line="360" w:lineRule="auto"/>
              <w:rPr>
                <w:rFonts w:hint="eastAsia" w:ascii="仿宋" w:hAnsi="仿宋" w:eastAsia="仿宋" w:cs="仿宋"/>
                <w:b/>
                <w:bCs/>
                <w:color w:val="FF0000"/>
                <w:sz w:val="22"/>
                <w:szCs w:val="22"/>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top"/>
          </w:tcPr>
          <w:p>
            <w:pPr>
              <w:ind w:right="284" w:rightChars="129"/>
              <w:jc w:val="center"/>
              <w:rPr>
                <w:rFonts w:hint="eastAsia" w:ascii="宋体" w:hAnsi="宋体" w:eastAsia="宋体" w:cs="宋体"/>
                <w:b/>
                <w:bCs/>
                <w:sz w:val="52"/>
                <w:szCs w:val="52"/>
                <w:lang w:val="en-US" w:eastAsia="zh-CN"/>
              </w:rPr>
            </w:pPr>
            <w:r>
              <w:rPr>
                <w:rFonts w:ascii="宋体" w:hAnsi="宋体" w:eastAsia="宋体" w:cs="宋体"/>
                <w:b/>
                <w:sz w:val="52"/>
              </w:rPr>
              <w:t>2022年度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江苏省公安厅交通警察总队</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outlineLvl w:val="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outlineLvl w:val="0"/>
        <w:rPr>
          <w:rFonts w:hint="eastAsia" w:ascii="黑体" w:hAnsi="黑体" w:eastAsia="黑体" w:cs="黑体"/>
          <w:b w:val="0"/>
          <w:bCs w:val="0"/>
        </w:rPr>
      </w:pPr>
      <w:r>
        <w:rPr>
          <w:rFonts w:hint="eastAsia" w:ascii="黑体" w:hAnsi="黑体" w:eastAsia="黑体" w:cs="黑体"/>
          <w:b w:val="0"/>
          <w:bCs w:val="0"/>
        </w:rPr>
        <w:t xml:space="preserve">第一部分 </w:t>
      </w:r>
      <w:r>
        <w:rPr>
          <w:rFonts w:hint="eastAsia" w:ascii="黑体" w:hAnsi="黑体" w:eastAsia="黑体" w:cs="黑体"/>
          <w:b w:val="0"/>
          <w:bCs w:val="0"/>
          <w:lang w:val="en-US" w:eastAsia="zh-CN"/>
        </w:rPr>
        <w:t>单位</w:t>
      </w:r>
      <w:r>
        <w:rPr>
          <w:rFonts w:hint="eastAsia" w:ascii="黑体" w:hAnsi="黑体" w:eastAsia="黑体" w:cs="黑体"/>
          <w:b w:val="0"/>
          <w:bCs w:val="0"/>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w:t>
      </w:r>
      <w:r>
        <w:rPr>
          <w:rFonts w:hint="eastAsia" w:ascii="仿宋" w:hAnsi="仿宋" w:eastAsia="仿宋" w:cs="仿宋"/>
          <w:lang w:val="en-US" w:eastAsia="zh-CN"/>
        </w:rPr>
        <w:t>2</w:t>
      </w:r>
      <w:r>
        <w:rPr>
          <w:rFonts w:hint="eastAsia" w:ascii="仿宋" w:hAnsi="仿宋" w:eastAsia="仿宋" w:cs="仿宋"/>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rPr>
      </w:pPr>
      <w:r>
        <w:rPr>
          <w:rFonts w:hint="eastAsia" w:ascii="黑体" w:hAnsi="黑体" w:eastAsia="黑体" w:cs="黑体"/>
          <w:b w:val="0"/>
          <w:bCs w:val="0"/>
          <w:lang w:val="en-US" w:eastAsia="zh-CN"/>
        </w:rPr>
        <w:t>第二部分 2022年度</w:t>
      </w:r>
      <w:r>
        <w:rPr>
          <w:rFonts w:ascii="黑体" w:hAnsi="黑体" w:eastAsia="黑体" w:cs="黑体"/>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w:t>
      </w:r>
      <w:r>
        <w:rPr>
          <w:rFonts w:hint="eastAsia" w:ascii="仿宋" w:hAnsi="仿宋" w:eastAsia="仿宋" w:cs="仿宋"/>
          <w:lang w:val="en-US" w:eastAsia="zh-CN"/>
        </w:rPr>
        <w:t>财政拨款“三公”经费、会议费和培训费支出决算表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lang w:val="en-US" w:eastAsia="zh-CN"/>
        </w:rPr>
      </w:pPr>
      <w:r>
        <w:rPr>
          <w:rFonts w:hint="eastAsia" w:ascii="仿宋" w:hAnsi="仿宋" w:eastAsia="仿宋" w:cs="仿宋"/>
        </w:rPr>
        <w:t>十一、</w:t>
      </w:r>
      <w:r>
        <w:rPr>
          <w:rFonts w:hint="eastAsia" w:ascii="仿宋" w:hAnsi="仿宋" w:eastAsia="仿宋" w:cs="仿宋"/>
          <w:lang w:val="en-US" w:eastAsia="zh-CN"/>
        </w:rPr>
        <w:t>国有资本经营预算支出决算表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w:t>
      </w:r>
      <w:r>
        <w:rPr>
          <w:rFonts w:hint="eastAsia" w:ascii="仿宋" w:hAnsi="仿宋" w:eastAsia="仿宋" w:cs="仿宋"/>
          <w:lang w:val="en-US" w:eastAsia="zh-CN"/>
        </w:rPr>
        <w:t>财政拨款</w:t>
      </w:r>
      <w:r>
        <w:rPr>
          <w:rFonts w:hint="eastAsia" w:ascii="仿宋" w:hAnsi="仿宋" w:eastAsia="仿宋" w:cs="仿宋"/>
        </w:rPr>
        <w:t>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lang w:val="en-US" w:eastAsia="zh-CN"/>
        </w:rPr>
        <w:t>第三部分 2022年度</w:t>
      </w:r>
      <w:r>
        <w:rPr>
          <w:rFonts w:ascii="黑体" w:hAnsi="黑体" w:eastAsia="黑体" w:cs="黑体"/>
        </w:rPr>
        <w:t>单位决算情况说明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default" w:ascii="仿宋" w:hAnsi="仿宋" w:eastAsia="仿宋" w:cs="仿宋"/>
          <w:b/>
          <w:bCs/>
          <w:color w:val="000000"/>
          <w:sz w:val="30"/>
          <w:szCs w:val="30"/>
          <w:lang w:val="en-US" w:eastAsia="zh-CN" w:bidi="ar"/>
        </w:rPr>
      </w:pPr>
      <w:r>
        <w:rPr>
          <w:rFonts w:hint="eastAsia" w:ascii="黑体" w:hAnsi="黑体" w:eastAsia="黑体" w:cs="黑体"/>
          <w:b w:val="0"/>
          <w:bCs w:val="0"/>
          <w:lang w:val="en-US" w:eastAsia="zh-CN"/>
        </w:rPr>
        <w:t>第四部分 名词解释</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outlineLvl w:val="0"/>
        <w:rPr>
          <w:rFonts w:hint="eastAsia"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eastAsia="zh-CN"/>
        </w:rPr>
        <w:t xml:space="preserve"> </w:t>
      </w:r>
      <w:r>
        <w:rPr>
          <w:rFonts w:hint="eastAsia" w:ascii="宋体" w:hAnsi="宋体" w:eastAsia="宋体" w:cs="宋体"/>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省公安厅交通警察总队负责拟订全省道路交通安全管理的政策、规定，指导、监督市、县公安机关依法查处道路交通违法犯罪行为，处理道路交通事故，维护道路交通安全、道路交通秩序、公路治安秩序；参与省内重特大道路交通事故调查处理工作；指导市、县公安机关道路交通应急管理和重大活动道路交通安全保卫工作；指导市、县公安机关实施对剧毒化学品的道路运输审批；指导、监督机动车（不含拖拉机）登记、机动车安全技术检验合格标志核发和驾驶人考试发证工作；组织、指导市、县道路交通安全宣传教育工作；组织、指导道路交通安全管理科技工作；指导市、县公安机关参与道路、停车场和道路配套设施规划、设计、建设工作；指导全省公安机关交警队伍建设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二、</w:t>
      </w:r>
      <w:r>
        <w:rPr>
          <w:rFonts w:ascii="黑体" w:hAnsi="黑体" w:eastAsia="黑体" w:cs="黑体"/>
        </w:rPr>
        <w:t>单位</w:t>
      </w:r>
      <w:r>
        <w:rPr>
          <w:rFonts w:hint="eastAsia" w:ascii="黑体" w:hAnsi="黑体" w:eastAsia="黑体" w:cs="黑体"/>
          <w:b w:val="0"/>
          <w:bCs w:val="0"/>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本单位内设机构包括综合指挥调度支队、交通安全保卫支队、农村交通管理支队、城市交通管理支队、高速公路交通治安管理支队。本单位无下属单位。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三、</w:t>
      </w:r>
      <w:r>
        <w:rPr>
          <w:rFonts w:hint="eastAsia" w:ascii="黑体" w:hAnsi="黑体" w:eastAsia="黑体" w:cs="黑体"/>
          <w:b w:val="0"/>
          <w:bCs w:val="0"/>
          <w:lang w:eastAsia="zh-CN"/>
        </w:rPr>
        <w:t>2022</w:t>
      </w:r>
      <w:r>
        <w:rPr>
          <w:rFonts w:hint="eastAsia" w:ascii="黑体" w:hAnsi="黑体" w:eastAsia="黑体" w:cs="黑体"/>
          <w:b w:val="0"/>
          <w:bCs w:val="0"/>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2022年，全省公安交警部门要坚持以习近平新时代中国特色社会主义思想为指导，认真贯彻中央、省部和省厅党委决策部署，聚焦党的二十大交通安保主题主线，深化实施江苏公安“六六战略”，持续开展“六型交管”建设，着力打造“五军交警”队伍，统筹推进预防事故保安全、规范执法护稳定、便民利企促发展，努力为党的二十大创造良好的道路交通环境。</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一、开展事故压降攻坚提升行动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健全道路交通安全综合治理机制。推动成立省级道路交通安全委员会，建立道路交通安全评价制度，提高道路交通安全考核权重。出台《关于加强农村道路交通安全工作的意见》。会同相关单位制定《关于深化高速公路“一路三方”协同共治的意见》。会同交通运输部门开展综合治理安全乡镇建设试点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完善道路交通安全常态整治机制。深入推进道路运输安全专项整治三年行动，持续深化交通事故预防“减量控大”工作。制定贯穿全年、梯次推进的交通安全整治计划，挂牌督办、挂钩帮扶事故多发的地区和路段。建立省、市、县三级交警部门交通事故、违法常态化分析研判和预警通报制度。配合交通运输部门开展道路运输非法营运专项整治。</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加强机动车和驾驶人源头管理。深入推进机动车登记查验和驾驶人考试集中整治，严格驾驶人考场准入管理，推动落实“自建为主、社会为辅”考场建设要求。配合工信、市场监管等部门深化货车“大吨小标”、非法改装等问题治理。严格查验员、考试员队伍管理，全面应用“查验智库”APP。</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（四）加强重大活动交通安保。高标准做好党的二十大和北京冬奥会、杭州亚运会等重大活动交通安保。</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二、开展城市秩序攻坚提升行动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加强城市交通乱象整治。保持酒驾醉驾常态化高压严管态势，继续开展“零酒驾”创建活动，落实工程运输车长效常态管理措施，加大分心驾驶重点违法查处力度。常态治理非机动车和行人、电动自行车违法，强化不礼让斑马线、不按规定使用安全带、违法停车专项整治。</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六）治理城市交通安全隐患。推动与城管、园林绿化等部门建立协作联动机制，整治绿化遮挡视线问题。加强慢行交通安全保护，推行主次干道距离路口不少于10米范围内机非物理隔离，推进双向六车道（含）以上道路设置行人二次过街安全岛，排查整改停车泊位设置影响非机动车和行人通行问题。落实路口右转安全防护，综合设置右转信号和标线标识，缩小转弯半径，推行大型车辆右转弯停车再起步等措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七）推进城市交通组织优化。推动交通组织优化办公室和交通信号配时优化中心实体化运作。按照规范设置率100%的目标，常态化开展交通标志、标线、信号灯设置问题排查整改。进一步完善学校、医院、施工区域设施的设置与管理。建立完善基于流量监测和互联网交通数据融合的交通信号配时管理机制。</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八）狠抓城市堵点乱点治理。“一点一策”治理易发常发性交通堵点，需要工程改造的，提请政府挂牌督办。会同相关职能部门系统治理学校、医院、商圈、景区周边道路交通拥堵。在城镇老旧小区周边具备条件的支路划定允许夜间、周末、法定假期停车的路段，在学校周边道路合理设置接送学生上下学车辆临时停车区域，在医院、小区门口附近设置出租车限时停车专用车位，在公共厕所附近设置限时停车位，解决基本停车难题。因地制宜应用交替通行、潮汐车道、可变进口车道、定向车道、借道通行、快速路匝道管控、限时段通行标线等交通组织措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九）深化城市交通勤务改革。推进市县城区执勤大、中队勤务指挥室建设，完善指挥调度、视频巡控、勤务监督、情报研判、设施巡检常态化机制。落实铁骑突击队、常规铁骑队配备要求和勤务制度，实行棋盘式布警、网格化管控。</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保障城市配送交通需求。落实《关于优化和改进城市配送货车通行管理工作的指导意见》，落地“便利货车在城市道路通行”改革举措，最大限度放宽货车通行限制。落实新能源汽车差异化通行政策，新能源轻微型厢式和封闭货车非必要不限行。在居住区、商业集中区等配送货车临时停车需求较大但停车资源不足的区域，因地制宜设置临时专用停车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三、开展固本强基攻坚提升行动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一）加强农村道路安防设施建设。常态开展道路隐患排和治理，推广应用隐患排查系统。持续落实“三个一”（一盏灯、一块牌、一条线）、“五必上”（警告标志、道路标线、减速带、警示桩、交通信号灯）、“三必上”（警告标志、减速带、路侧护栏）和“坡改平”措施，推广应用平交路口主动预警提示系统和智能移动卡口等科技设施，整治平交路口视距遮挡和国省道“小开口”，优化调整国省道公交、校车停靠站点。</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（十二）深化农村道路防控体系建设。制定农村道路防控体系建设方案。制定《关于加强农村中队建设的意见》。打造公路中队智慧指挥室样板。加大“一村一交通辅警”建设力度。</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三）深化国省道交通安全文明示范路创建。开展高速公路交通管理示范路创建，推进“三道防线”建设，推广应用控距抓拍执法系统。制定普通国省道交通安全文明示范路建设标准，开展国省道速度管控课题研究，全面落实货车右行管控措施。会同交通运输部门严厉整治超限超载等违法违规行为。</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四、开展执法服务攻坚提升行动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四）深化公安交管“放管服”改革。坚持“我为群众办实事”常态化，落实便民利企新举措。稳妥开展大型客货车驾驶人降级恢复、新车注册登记生产企业预查验等改革试点工作。推广道路交通事故一体化处理工作机制和机动车安全技术检验“一次办”改革成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五）深化顽瘴痼疾整治。健全窗口业务、事故处理顽瘴痼疾常态化治理机制。推进落实改进执法“六项措施”，推广违法停车先行提醒纠正执法模式，试点参加交通志愿减免处罚机制。推广应用交通事故智能辅助定责系统。</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六）加强执法监督管理。深化交管业务综合监管系统一期（车驾管业务）应用，推广应用道路交通事故业务监管系统，常态化预警通报异常业务。制定交警部门执法责任制实施意见和法制审核工作规范。推广应用交警法治智慧管理平台。组织开展执法规范化建设重点任务督察评估。推广应用交警队伍管理信息系统，强化执勤执法记录仪使用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七）强化法治保障服务。贯彻实施《机动车登记规定》和《机动车驾驶证申领和使用规定》。推动《江苏省道路交通安全条例》修订工作。配合相关部门提请省政府修订道路交通事故社会救助基金管理办法及实施细则、核销细则。推广行政案件、刑事案件以及交通事故快速处理机制。</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八）加强科技支撑服务。按照公安部交管局统一部署，整合交通管理社会服务专网系统，建设信息安全监管系统（二期），推广应用交管窗口统一终端设备管理软件。搭建省级数据中台，开展数据服务接口、全省交管数据建模平台建设。完成交通违法学法减分、非税收入退付系统建设，推进交管互联网服务与省政府、省厅政务服务对接。</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九）加强交通安全宣传教育。会同交通运输部门出台《江苏省道路交通安全教育宣传提升工程规划》。会同相关部门打造高速公路服务区示范宣传阵地。推进农村交通安全宣传“百千万”行动，加强农村地区“一老一小”普法教育，推动农村中小学交通安全教育基地建设。持续开展“五大曝光行动”，加强重点时段主题宣传和预警提示。加强新媒体矩阵建设及宣传联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五、开展实战能力攻坚提升行动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十）加强实战练兵。制定全省公安交警部门2022年度培训计划，继续做好分层分级培训。牵头组织全国第三片区比武竞赛。加强车辆查验查缉等重点岗位实战训练，举办道路交通事故夜间现场勘查比武竞赛。组织重特大道路交通事故现场应急处置演练。加强全国交警网校平台应用，拓展网上练兵渠道。</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（二十一）加强典型选树。推进车管所“四型车管”建设，开展2020-2021年度车管所等级评定。持续开展星级高速大队创建。</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（二十二）大力优警暖警。落实重要节点走访慰问措施，加强执勤执法权益维护，强化执勤执法安全防范和疫情防护，做好因公牺牲交警辅警家属关心优抚。</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outlineLvl w:val="0"/>
        <w:rPr>
          <w:rFonts w:hint="eastAsia" w:ascii="宋体" w:hAnsi="宋体" w:eastAsia="宋体" w:cs="宋体"/>
          <w:b/>
          <w:bCs/>
          <w:sz w:val="36"/>
          <w:szCs w:val="36"/>
          <w:lang w:val="en-US" w:eastAsia="zh-CN"/>
        </w:rPr>
      </w:pPr>
      <w:r>
        <w:rPr>
          <w:rFonts w:hint="eastAsia" w:ascii="宋体" w:hAnsi="宋体" w:eastAsia="宋体" w:cs="宋体"/>
          <w:b/>
          <w:bCs/>
          <w:sz w:val="36"/>
          <w:szCs w:val="36"/>
        </w:rPr>
        <w:t>第二部分</w:t>
      </w:r>
    </w:p>
    <w:p>
      <w:pPr>
        <w:pStyle w:val="21"/>
        <w:widowControl w:val="0"/>
        <w:tabs>
          <w:tab w:val="left" w:pos="1609"/>
        </w:tabs>
        <w:suppressAutoHyphens/>
        <w:bidi w:val="0"/>
        <w:spacing w:before="12" w:after="0" w:line="300" w:lineRule="auto"/>
        <w:ind w:left="340" w:right="567" w:firstLine="0"/>
        <w:jc w:val="center"/>
        <w:rPr>
          <w:rFonts w:hint="eastAsia" w:ascii="宋体" w:hAnsi="宋体" w:eastAsia="宋体" w:cs="宋体"/>
          <w:b/>
          <w:bCs/>
          <w:sz w:val="36"/>
          <w:szCs w:val="36"/>
        </w:rPr>
      </w:pPr>
      <w:r>
        <w:rPr>
          <w:rFonts w:hint="eastAsia" w:ascii="宋体" w:hAnsi="宋体" w:eastAsia="宋体" w:cs="宋体"/>
          <w:b/>
          <w:bCs/>
          <w:sz w:val="36"/>
          <w:szCs w:val="36"/>
          <w:u w:val="none"/>
        </w:rPr>
        <w:t>江苏省公安厅交通警察总队</w:t>
      </w:r>
    </w:p>
    <w:p>
      <w:pPr>
        <w:pStyle w:val="21"/>
        <w:widowControl w:val="0"/>
        <w:tabs>
          <w:tab w:val="left" w:pos="1609"/>
        </w:tabs>
        <w:suppressAutoHyphens/>
        <w:bidi w:val="0"/>
        <w:spacing w:before="12" w:after="0" w:line="300" w:lineRule="auto"/>
        <w:ind w:left="340" w:right="567" w:firstLine="0"/>
        <w:jc w:val="center"/>
        <w:outlineLvl w:val="1"/>
        <w:rPr>
          <w:rFonts w:hint="eastAsia" w:ascii="宋体" w:hAnsi="宋体" w:eastAsia="宋体" w:cs="宋体"/>
          <w:b/>
          <w:bCs/>
          <w:sz w:val="36"/>
          <w:szCs w:val="36"/>
        </w:rPr>
      </w:pPr>
      <w:r>
        <w:rPr>
          <w:rFonts w:hint="eastAsia" w:ascii="宋体" w:hAnsi="宋体" w:eastAsia="宋体" w:cs="宋体"/>
          <w:b/>
          <w:bCs/>
          <w:sz w:val="36"/>
          <w:szCs w:val="36"/>
          <w:lang w:eastAsia="zh-CN"/>
        </w:rPr>
        <w:t>2022</w:t>
      </w:r>
      <w:r>
        <w:rPr>
          <w:rFonts w:hint="eastAsia" w:ascii="宋体" w:hAnsi="宋体" w:eastAsia="宋体" w:cs="宋体"/>
          <w:b/>
          <w:bCs/>
          <w:sz w:val="36"/>
          <w:szCs w:val="36"/>
        </w:rPr>
        <w:t>年度</w:t>
      </w:r>
      <w:r>
        <w:rPr>
          <w:rFonts w:hint="eastAsia" w:ascii="宋体" w:hAnsi="宋体" w:eastAsia="宋体" w:cs="宋体"/>
          <w:b/>
          <w:bCs/>
          <w:sz w:val="36"/>
          <w:szCs w:val="36"/>
          <w:lang w:val="en-US" w:eastAsia="zh-CN"/>
        </w:rPr>
        <w:t>单位</w:t>
      </w:r>
      <w:r>
        <w:rPr>
          <w:rFonts w:ascii="宋体" w:hAnsi="宋体" w:eastAsia="宋体" w:cs="宋体"/>
          <w:b/>
          <w:sz w:val="36"/>
        </w:rPr>
        <w:t>决算表</w:t>
      </w:r>
    </w:p>
    <w:tbl>
      <w:tblPr>
        <w:tblStyle w:val="12"/>
        <w:tblW w:w="10447" w:type="dxa"/>
        <w:jc w:val="center"/>
        <w:tblLayout w:type="fixed"/>
        <w:tblCellMar>
          <w:top w:w="0" w:type="dxa"/>
          <w:left w:w="108" w:type="dxa"/>
          <w:bottom w:w="0" w:type="dxa"/>
          <w:right w:w="108" w:type="dxa"/>
        </w:tblCellMar>
      </w:tblPr>
      <w:tblGrid>
        <w:gridCol w:w="3468"/>
        <w:gridCol w:w="1777"/>
        <w:gridCol w:w="2035"/>
        <w:gridCol w:w="1341"/>
        <w:gridCol w:w="1826"/>
      </w:tblGrid>
      <w:tr>
        <w:tblPrEx>
          <w:tblCellMar>
            <w:top w:w="0" w:type="dxa"/>
            <w:left w:w="108" w:type="dxa"/>
            <w:bottom w:w="0" w:type="dxa"/>
            <w:right w:w="108" w:type="dxa"/>
          </w:tblCellMar>
        </w:tblPrEx>
        <w:trPr>
          <w:trHeight w:val="544" w:hRule="atLeast"/>
          <w:jc w:val="center"/>
        </w:trPr>
        <w:tc>
          <w:tcPr>
            <w:tcW w:w="10447"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rPr>
          <w:trHeight w:val="348" w:hRule="atLeast"/>
          <w:jc w:val="center"/>
        </w:trPr>
        <w:tc>
          <w:tcPr>
            <w:tcW w:w="3468" w:type="dxa"/>
          </w:tcPr>
          <w:p>
            <w:pPr>
              <w:widowControl w:val="0"/>
              <w:ind w:left="0" w:right="0" w:firstLine="0"/>
              <w:jc w:val="left"/>
              <w:textAlignment w:val="auto"/>
              <w:rPr>
                <w:rFonts w:hint="eastAsia" w:ascii="仿宋" w:hAnsi="仿宋" w:eastAsia="仿宋" w:cs="仿宋"/>
                <w:color w:val="000000"/>
                <w:sz w:val="20"/>
              </w:rPr>
            </w:pPr>
          </w:p>
        </w:tc>
        <w:tc>
          <w:tcPr>
            <w:tcW w:w="1777" w:type="dxa"/>
          </w:tcPr>
          <w:p>
            <w:pPr>
              <w:widowControl w:val="0"/>
              <w:ind w:left="0" w:right="0" w:firstLine="0"/>
              <w:jc w:val="left"/>
              <w:textAlignment w:val="auto"/>
              <w:rPr>
                <w:rFonts w:hint="eastAsia" w:ascii="仿宋" w:hAnsi="仿宋" w:eastAsia="仿宋" w:cs="仿宋"/>
                <w:color w:val="000000"/>
                <w:sz w:val="20"/>
              </w:rPr>
            </w:pPr>
          </w:p>
        </w:tc>
        <w:tc>
          <w:tcPr>
            <w:tcW w:w="520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r>
      <w:tr>
        <w:tblPrEx>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江苏省公安厅交通警察总队</w:t>
            </w:r>
          </w:p>
        </w:tc>
        <w:tc>
          <w:tcPr>
            <w:tcW w:w="3167"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r>
      <w:tr>
        <w:tblPrEx>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r>
      <w:tr>
        <w:tblPrEx>
          <w:tblCellMar>
            <w:top w:w="0" w:type="dxa"/>
            <w:left w:w="108" w:type="dxa"/>
            <w:bottom w:w="0" w:type="dxa"/>
            <w:right w:w="108" w:type="dxa"/>
          </w:tblCellMar>
        </w:tblPrEx>
        <w:trPr>
          <w:trHeight w:val="39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7,986.93</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6,728.81</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268.21</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1,011.42</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301.55</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7,986.93</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8,309.99</w:t>
            </w:r>
          </w:p>
        </w:tc>
      </w:tr>
      <w:tr>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使用非财政拨款结余</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结余分配</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r>
      <w:tr>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年初结转和结余</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6,598.54</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年末结转和结余</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6,275.48</w:t>
            </w:r>
          </w:p>
        </w:tc>
      </w:tr>
      <w:tr>
        <w:tblPrEx>
          <w:tblCellMar>
            <w:top w:w="0" w:type="dxa"/>
            <w:left w:w="108" w:type="dxa"/>
            <w:bottom w:w="0" w:type="dxa"/>
            <w:right w:w="108" w:type="dxa"/>
          </w:tblCellMar>
        </w:tblPrEx>
        <w:trPr>
          <w:trHeight w:val="383" w:hRule="atLeast"/>
          <w:jc w:val="center"/>
        </w:trPr>
        <w:tc>
          <w:tcPr>
            <w:tcW w:w="346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77"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376"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26"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r>
      <w:tr>
        <w:tblPrEx>
          <w:tblCellMar>
            <w:top w:w="0" w:type="dxa"/>
            <w:left w:w="108" w:type="dxa"/>
            <w:bottom w:w="0" w:type="dxa"/>
            <w:right w:w="108" w:type="dxa"/>
          </w:tblCellMar>
        </w:tblPrEx>
        <w:trPr>
          <w:cantSplit/>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14,585.47</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14,585.47</w:t>
            </w:r>
          </w:p>
        </w:tc>
      </w:tr>
    </w:tbl>
    <w:p>
      <w:pPr>
        <w:widowControl w:val="0"/>
        <w:suppressAutoHyphens/>
        <w:bidi w:val="0"/>
        <w:spacing w:before="66" w:after="0"/>
        <w:ind w:left="0" w:leftChars="0" w:right="0" w:rightChars="0" w:firstLine="0" w:firstLineChars="0"/>
        <w:jc w:val="both"/>
        <w:rPr>
          <w:rFonts w:hint="eastAsia" w:ascii="仿宋" w:hAnsi="仿宋" w:eastAsia="仿宋" w:cs="仿宋"/>
          <w:b w:val="0"/>
          <w:bCs w:val="0"/>
          <w:color w:val="000000"/>
          <w:sz w:val="22"/>
          <w:szCs w:val="22"/>
          <w:lang w:val="en-US" w:eastAsia="zh-CN"/>
        </w:rPr>
      </w:pPr>
      <w:r>
        <w:rPr>
          <w:rFonts w:hint="eastAsia" w:ascii="仿宋" w:hAnsi="仿宋" w:eastAsia="仿宋" w:cs="仿宋"/>
          <w:b w:val="0"/>
          <w:bCs w:val="0"/>
          <w:color w:val="000000"/>
          <w:sz w:val="22"/>
          <w:szCs w:val="22"/>
          <w:lang w:val="en-US" w:eastAsia="zh-CN"/>
        </w:rPr>
        <w:t>注：本表反映本年度的总收支和年末结转结余情况。本表金额单位转换时可能存在尾数误差。</w:t>
      </w:r>
    </w:p>
    <w:p>
      <w:pPr>
        <w:widowControl w:val="0"/>
        <w:suppressAutoHyphens/>
        <w:bidi w:val="0"/>
        <w:spacing w:before="66" w:after="0"/>
        <w:ind w:right="0"/>
        <w:jc w:val="both"/>
        <w:rPr>
          <w:rFonts w:hint="eastAsia" w:ascii="仿宋" w:hAnsi="仿宋" w:eastAsia="仿宋" w:cs="仿宋"/>
          <w:b w:val="0"/>
          <w:bCs w:val="0"/>
          <w:color w:val="000000"/>
          <w:sz w:val="22"/>
          <w:szCs w:val="22"/>
        </w:rPr>
        <w:sectPr>
          <w:footerReference r:id="rId8"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660" w:type="dxa"/>
        <w:jc w:val="center"/>
        <w:tblLayout w:type="fixed"/>
        <w:tblCellMar>
          <w:top w:w="0" w:type="dxa"/>
          <w:left w:w="108" w:type="dxa"/>
          <w:bottom w:w="0" w:type="dxa"/>
          <w:right w:w="108" w:type="dxa"/>
        </w:tblCellMar>
      </w:tblPr>
      <w:tblGrid>
        <w:gridCol w:w="1201"/>
        <w:gridCol w:w="3156"/>
        <w:gridCol w:w="1716"/>
        <w:gridCol w:w="1728"/>
        <w:gridCol w:w="1686"/>
        <w:gridCol w:w="1503"/>
        <w:gridCol w:w="1704"/>
        <w:gridCol w:w="1263"/>
        <w:gridCol w:w="1375"/>
        <w:gridCol w:w="1328"/>
      </w:tblGrid>
      <w:tr>
        <w:tblPrEx>
          <w:tblCellMar>
            <w:top w:w="0" w:type="dxa"/>
            <w:left w:w="108" w:type="dxa"/>
            <w:bottom w:w="0" w:type="dxa"/>
            <w:right w:w="108" w:type="dxa"/>
          </w:tblCellMar>
        </w:tblPrEx>
        <w:trPr>
          <w:trHeight w:val="403" w:hRule="atLeast"/>
          <w:jc w:val="center"/>
        </w:trPr>
        <w:tc>
          <w:tcPr>
            <w:tcW w:w="16660"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宋体" w:hAnsi="宋体" w:eastAsia="宋体" w:cs="宋体"/>
                <w:b/>
                <w:bCs/>
                <w:color w:val="000000"/>
                <w:kern w:val="0"/>
                <w:sz w:val="36"/>
                <w:szCs w:val="36"/>
                <w:lang w:val="zh-CN" w:eastAsia="ar-SA" w:bidi="zh-CN"/>
              </w:rPr>
              <w:t>收入决算表</w:t>
            </w:r>
          </w:p>
        </w:tc>
      </w:tr>
      <w:tr>
        <w:tblPrEx>
          <w:tblCellMar>
            <w:top w:w="0" w:type="dxa"/>
            <w:left w:w="108" w:type="dxa"/>
            <w:bottom w:w="0" w:type="dxa"/>
            <w:right w:w="108" w:type="dxa"/>
          </w:tblCellMar>
        </w:tblPrEx>
        <w:trPr>
          <w:trHeight w:val="247" w:hRule="atLeast"/>
          <w:jc w:val="center"/>
        </w:trPr>
        <w:tc>
          <w:tcPr>
            <w:tcW w:w="4357" w:type="dxa"/>
            <w:gridSpan w:val="2"/>
            <w:vAlign w:val="center"/>
          </w:tcPr>
          <w:p>
            <w:pPr>
              <w:pStyle w:val="22"/>
              <w:widowControl w:val="0"/>
              <w:jc w:val="center"/>
              <w:rPr>
                <w:rFonts w:hint="eastAsia" w:ascii="仿宋" w:hAnsi="仿宋" w:eastAsia="仿宋" w:cs="仿宋"/>
              </w:rPr>
            </w:pPr>
          </w:p>
        </w:tc>
        <w:tc>
          <w:tcPr>
            <w:tcW w:w="1716" w:type="dxa"/>
            <w:vAlign w:val="center"/>
          </w:tcPr>
          <w:p>
            <w:pPr>
              <w:pStyle w:val="22"/>
              <w:widowControl w:val="0"/>
              <w:jc w:val="center"/>
              <w:rPr>
                <w:rFonts w:hint="eastAsia" w:ascii="仿宋" w:hAnsi="仿宋" w:eastAsia="仿宋" w:cs="仿宋"/>
              </w:rPr>
            </w:pPr>
          </w:p>
        </w:tc>
        <w:tc>
          <w:tcPr>
            <w:tcW w:w="1728" w:type="dxa"/>
            <w:vAlign w:val="center"/>
          </w:tcPr>
          <w:p>
            <w:pPr>
              <w:pStyle w:val="22"/>
              <w:widowControl w:val="0"/>
              <w:jc w:val="center"/>
              <w:rPr>
                <w:rFonts w:hint="eastAsia" w:ascii="仿宋" w:hAnsi="仿宋" w:eastAsia="仿宋" w:cs="仿宋"/>
              </w:rPr>
            </w:pPr>
          </w:p>
        </w:tc>
        <w:tc>
          <w:tcPr>
            <w:tcW w:w="1686" w:type="dxa"/>
            <w:vAlign w:val="center"/>
          </w:tcPr>
          <w:p>
            <w:pPr>
              <w:pStyle w:val="22"/>
              <w:widowControl w:val="0"/>
              <w:jc w:val="center"/>
              <w:rPr>
                <w:rFonts w:hint="eastAsia" w:ascii="仿宋" w:hAnsi="仿宋" w:eastAsia="仿宋" w:cs="仿宋"/>
              </w:rPr>
            </w:pPr>
          </w:p>
        </w:tc>
        <w:tc>
          <w:tcPr>
            <w:tcW w:w="3207" w:type="dxa"/>
            <w:gridSpan w:val="2"/>
            <w:vAlign w:val="center"/>
          </w:tcPr>
          <w:p>
            <w:pPr>
              <w:pStyle w:val="22"/>
              <w:widowControl w:val="0"/>
              <w:jc w:val="center"/>
              <w:rPr>
                <w:rFonts w:hint="eastAsia" w:ascii="仿宋" w:hAnsi="仿宋" w:eastAsia="仿宋" w:cs="仿宋"/>
              </w:rPr>
            </w:pPr>
          </w:p>
        </w:tc>
        <w:tc>
          <w:tcPr>
            <w:tcW w:w="1263" w:type="dxa"/>
            <w:vAlign w:val="center"/>
          </w:tcPr>
          <w:p>
            <w:pPr>
              <w:pStyle w:val="22"/>
              <w:widowControl w:val="0"/>
              <w:jc w:val="center"/>
              <w:rPr>
                <w:rFonts w:hint="eastAsia" w:ascii="仿宋" w:hAnsi="仿宋" w:eastAsia="仿宋" w:cs="仿宋"/>
              </w:rPr>
            </w:pPr>
          </w:p>
        </w:tc>
        <w:tc>
          <w:tcPr>
            <w:tcW w:w="2703"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CellMar>
            <w:top w:w="0" w:type="dxa"/>
            <w:left w:w="108" w:type="dxa"/>
            <w:bottom w:w="0" w:type="dxa"/>
            <w:right w:w="108" w:type="dxa"/>
          </w:tblCellMar>
        </w:tblPrEx>
        <w:trPr>
          <w:trHeight w:val="247" w:hRule="atLeast"/>
          <w:jc w:val="center"/>
        </w:trPr>
        <w:tc>
          <w:tcPr>
            <w:tcW w:w="13957"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江苏省公安厅交通警察总队</w:t>
            </w:r>
          </w:p>
        </w:tc>
        <w:tc>
          <w:tcPr>
            <w:tcW w:w="2703"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0" w:type="dxa"/>
            <w:left w:w="108" w:type="dxa"/>
            <w:bottom w:w="0" w:type="dxa"/>
            <w:right w:w="108" w:type="dxa"/>
          </w:tblCellMar>
        </w:tblPrEx>
        <w:trPr>
          <w:cantSplit/>
          <w:trHeight w:val="255" w:hRule="atLeast"/>
          <w:jc w:val="center"/>
        </w:trPr>
        <w:tc>
          <w:tcPr>
            <w:tcW w:w="435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71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728"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68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1503"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财政专户管理教育收费</w:t>
            </w:r>
          </w:p>
        </w:tc>
        <w:tc>
          <w:tcPr>
            <w:tcW w:w="170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事业收入（不含专户管理教育收费）</w:t>
            </w:r>
          </w:p>
        </w:tc>
        <w:tc>
          <w:tcPr>
            <w:tcW w:w="1263"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375"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32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CellMar>
            <w:top w:w="0" w:type="dxa"/>
            <w:left w:w="108" w:type="dxa"/>
            <w:bottom w:w="0" w:type="dxa"/>
            <w:right w:w="108" w:type="dxa"/>
          </w:tblCellMar>
        </w:tblPrEx>
        <w:trPr>
          <w:cantSplit/>
          <w:trHeight w:val="502" w:hRule="atLeast"/>
          <w:jc w:val="center"/>
        </w:trPr>
        <w:tc>
          <w:tcPr>
            <w:tcW w:w="120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15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71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728"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8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3"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704"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263"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75"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2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0" w:type="dxa"/>
            <w:left w:w="108" w:type="dxa"/>
            <w:bottom w:w="0" w:type="dxa"/>
            <w:right w:w="108" w:type="dxa"/>
          </w:tblCellMar>
        </w:tblPrEx>
        <w:trPr>
          <w:cantSplit/>
          <w:trHeight w:val="267" w:hRule="exact"/>
          <w:jc w:val="center"/>
        </w:trPr>
        <w:tc>
          <w:tcPr>
            <w:tcW w:w="435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716"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r>
              <w:rPr>
                <w:rFonts w:hint="eastAsia" w:ascii="仿宋" w:hAnsi="仿宋" w:eastAsia="仿宋" w:cs="仿宋"/>
                <w:sz w:val="20"/>
                <w:szCs w:val="20"/>
              </w:rPr>
              <w:t>7,986.93</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r>
              <w:rPr>
                <w:rFonts w:hint="eastAsia" w:ascii="仿宋" w:hAnsi="仿宋" w:eastAsia="仿宋" w:cs="仿宋"/>
                <w:sz w:val="20"/>
                <w:szCs w:val="20"/>
              </w:rPr>
              <w:t>7,986.93</w:t>
            </w:r>
          </w:p>
        </w:tc>
        <w:tc>
          <w:tcPr>
            <w:tcW w:w="1686"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503"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704"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263"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375"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328"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公共安全支出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6,707.30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6,707.30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公安</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6,707.30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6,707.30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2040201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行政运行</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3,280.00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3,280.00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2040299</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其他公安支出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3,427.30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3,427.30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268.21</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268.21</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行政事业单位养老支出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268.21</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268.21</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2080505</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机关事业单位基本养老保险缴费支出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178.81</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178.81</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2080506</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机关事业单位职业年金缴费支出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89.40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89.40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1,011.42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1,011.42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住房改革支出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1,011.42</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1,011.42</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住房公积金</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319.59</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319.59</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提租补贴</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691.83</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691.83</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bl>
    <w:p>
      <w:pPr>
        <w:widowControl w:val="0"/>
        <w:suppressAutoHyphens/>
        <w:bidi w:val="0"/>
        <w:spacing w:before="66"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color w:val="000000"/>
          <w:sz w:val="22"/>
          <w:szCs w:val="22"/>
        </w:rPr>
        <w:t>注：</w:t>
      </w:r>
      <w:r>
        <w:rPr>
          <w:rFonts w:hint="eastAsia" w:ascii="仿宋" w:hAnsi="仿宋" w:eastAsia="仿宋" w:cs="仿宋"/>
          <w:b w:val="0"/>
          <w:bCs w:val="0"/>
          <w:sz w:val="22"/>
          <w:szCs w:val="22"/>
        </w:rPr>
        <w:t>本表反映本年度取得的各项收入情况。本表金额单位转换时可能存在尾数误差。</w:t>
      </w:r>
    </w:p>
    <w:p>
      <w:pPr>
        <w:widowControl w:val="0"/>
        <w:suppressAutoHyphens/>
        <w:bidi w:val="0"/>
        <w:spacing w:before="66" w:after="0"/>
        <w:ind w:left="57" w:right="0" w:firstLine="220" w:firstLineChars="100"/>
        <w:jc w:val="both"/>
        <w:rPr>
          <w:rFonts w:hint="eastAsia" w:ascii="仿宋" w:hAnsi="仿宋" w:eastAsia="仿宋" w:cs="仿宋"/>
          <w:b w:val="0"/>
          <w:bCs w:val="0"/>
          <w:sz w:val="22"/>
          <w:szCs w:val="22"/>
        </w:rPr>
        <w:sectPr>
          <w:footerReference r:id="rId9" w:type="default"/>
          <w:pgSz w:w="16838" w:h="11906" w:orient="landscape"/>
          <w:pgMar w:top="720" w:right="113" w:bottom="720" w:left="11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689" w:type="dxa"/>
        <w:tblInd w:w="63" w:type="dxa"/>
        <w:tblLayout w:type="fixed"/>
        <w:tblCellMar>
          <w:top w:w="55" w:type="dxa"/>
          <w:left w:w="55" w:type="dxa"/>
          <w:bottom w:w="55" w:type="dxa"/>
          <w:right w:w="55" w:type="dxa"/>
        </w:tblCellMar>
      </w:tblPr>
      <w:tblGrid>
        <w:gridCol w:w="1188"/>
        <w:gridCol w:w="3927"/>
        <w:gridCol w:w="2164"/>
        <w:gridCol w:w="1897"/>
        <w:gridCol w:w="1739"/>
        <w:gridCol w:w="1715"/>
        <w:gridCol w:w="1633"/>
        <w:gridCol w:w="1426"/>
      </w:tblGrid>
      <w:tr>
        <w:trPr>
          <w:trHeight w:val="532" w:hRule="atLeast"/>
        </w:trPr>
        <w:tc>
          <w:tcPr>
            <w:tcW w:w="15689" w:type="dxa"/>
            <w:gridSpan w:val="8"/>
            <w:vAlign w:val="center"/>
          </w:tcPr>
          <w:p>
            <w:pPr>
              <w:pStyle w:val="5"/>
              <w:widowControl w:val="0"/>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支出决算表</w:t>
            </w:r>
          </w:p>
        </w:tc>
      </w:tr>
      <w:tr>
        <w:tblPrEx>
          <w:tblCellMar>
            <w:top w:w="55" w:type="dxa"/>
            <w:left w:w="55" w:type="dxa"/>
            <w:bottom w:w="55" w:type="dxa"/>
            <w:right w:w="55" w:type="dxa"/>
          </w:tblCellMar>
        </w:tblPrEx>
        <w:trPr>
          <w:trHeight w:val="227" w:hRule="atLeast"/>
        </w:trPr>
        <w:tc>
          <w:tcPr>
            <w:tcW w:w="5115" w:type="dxa"/>
            <w:gridSpan w:val="2"/>
            <w:vAlign w:val="center"/>
          </w:tcPr>
          <w:p>
            <w:pPr>
              <w:pStyle w:val="22"/>
              <w:widowControl w:val="0"/>
              <w:jc w:val="center"/>
              <w:rPr>
                <w:rFonts w:hint="eastAsia" w:ascii="仿宋" w:hAnsi="仿宋" w:eastAsia="仿宋" w:cs="仿宋"/>
              </w:rPr>
            </w:pPr>
          </w:p>
        </w:tc>
        <w:tc>
          <w:tcPr>
            <w:tcW w:w="2164" w:type="dxa"/>
            <w:vAlign w:val="center"/>
          </w:tcPr>
          <w:p>
            <w:pPr>
              <w:pStyle w:val="22"/>
              <w:widowControl w:val="0"/>
              <w:spacing w:before="0" w:after="0"/>
              <w:ind w:firstLine="0"/>
              <w:jc w:val="center"/>
              <w:rPr>
                <w:rFonts w:hint="eastAsia" w:ascii="仿宋" w:hAnsi="仿宋" w:eastAsia="仿宋" w:cs="仿宋"/>
                <w:sz w:val="20"/>
              </w:rPr>
            </w:pPr>
          </w:p>
        </w:tc>
        <w:tc>
          <w:tcPr>
            <w:tcW w:w="1897" w:type="dxa"/>
            <w:vAlign w:val="center"/>
          </w:tcPr>
          <w:p>
            <w:pPr>
              <w:pStyle w:val="22"/>
              <w:widowControl w:val="0"/>
              <w:spacing w:before="0" w:after="0"/>
              <w:ind w:firstLine="0"/>
              <w:jc w:val="center"/>
              <w:rPr>
                <w:rFonts w:hint="eastAsia" w:ascii="仿宋" w:hAnsi="仿宋" w:eastAsia="仿宋" w:cs="仿宋"/>
                <w:sz w:val="20"/>
              </w:rPr>
            </w:pPr>
          </w:p>
        </w:tc>
        <w:tc>
          <w:tcPr>
            <w:tcW w:w="1739" w:type="dxa"/>
            <w:vAlign w:val="center"/>
          </w:tcPr>
          <w:p>
            <w:pPr>
              <w:pStyle w:val="22"/>
              <w:widowControl w:val="0"/>
              <w:spacing w:before="0" w:after="0"/>
              <w:ind w:firstLine="0"/>
              <w:jc w:val="center"/>
              <w:rPr>
                <w:rFonts w:hint="eastAsia" w:ascii="仿宋" w:hAnsi="仿宋" w:eastAsia="仿宋" w:cs="仿宋"/>
                <w:sz w:val="20"/>
              </w:rPr>
            </w:pPr>
          </w:p>
        </w:tc>
        <w:tc>
          <w:tcPr>
            <w:tcW w:w="1715" w:type="dxa"/>
            <w:vAlign w:val="center"/>
          </w:tcPr>
          <w:p>
            <w:pPr>
              <w:pStyle w:val="22"/>
              <w:widowControl w:val="0"/>
              <w:spacing w:before="0" w:after="0"/>
              <w:ind w:firstLine="0"/>
              <w:jc w:val="center"/>
              <w:rPr>
                <w:rFonts w:hint="eastAsia" w:ascii="仿宋" w:hAnsi="仿宋" w:eastAsia="仿宋" w:cs="仿宋"/>
                <w:sz w:val="20"/>
              </w:rPr>
            </w:pPr>
          </w:p>
        </w:tc>
        <w:tc>
          <w:tcPr>
            <w:tcW w:w="3059"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trHeight w:val="90" w:hRule="atLeast"/>
        </w:trPr>
        <w:tc>
          <w:tcPr>
            <w:tcW w:w="126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江苏省公安厅交通警察总队</w:t>
            </w:r>
          </w:p>
        </w:tc>
        <w:tc>
          <w:tcPr>
            <w:tcW w:w="3059"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90" w:hRule="atLeast"/>
        </w:trPr>
        <w:tc>
          <w:tcPr>
            <w:tcW w:w="511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216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897"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3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715"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3"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426"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trHeight w:val="176" w:hRule="atLeast"/>
        </w:trPr>
        <w:tc>
          <w:tcPr>
            <w:tcW w:w="1188"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927"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216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97"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3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5"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3"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26"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382" w:hRule="exact"/>
        </w:trPr>
        <w:tc>
          <w:tcPr>
            <w:tcW w:w="51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216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8,309.99</w:t>
            </w:r>
          </w:p>
        </w:tc>
        <w:tc>
          <w:tcPr>
            <w:tcW w:w="189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4,527.30</w:t>
            </w:r>
          </w:p>
        </w:tc>
        <w:tc>
          <w:tcPr>
            <w:tcW w:w="173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3,782.69</w:t>
            </w:r>
          </w:p>
        </w:tc>
        <w:tc>
          <w:tcPr>
            <w:tcW w:w="1715"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2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公共安全支出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6,728.81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3,247.67</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3,481.14</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公安</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6,728.81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3,247.67</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3,481.14</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2040201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行政运行</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3,247.67</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3,247.67</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其他公安支出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3,481.14</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3,481.14</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268.21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268.21</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行政事业单位养老支出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268.21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268.21</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2080505</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机关事业单位基本养老保险缴费支出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178.81</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178.81</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2080506</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机关事业单位职业年金缴费支出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89.40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89.40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1,011.42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1,011.42</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住房改革支出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1,011.42</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1,011.42</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住房公积金</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319.59</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319.59</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提租补贴</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691.83</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691.83</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301.55</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301.55</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301.55</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301.55</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2299999</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其他支出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301.55</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301.55</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0" w:leftChars="0" w:right="0" w:firstLine="0" w:firstLineChars="0"/>
        <w:jc w:val="left"/>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注：本表反映本年度各项支出情况。本表金额单位转换时可能存在尾数误差。</w:t>
      </w:r>
    </w:p>
    <w:p>
      <w:pPr>
        <w:widowControl w:val="0"/>
        <w:suppressAutoHyphens/>
        <w:bidi w:val="0"/>
        <w:spacing w:before="59" w:after="0"/>
        <w:ind w:left="57" w:right="0" w:firstLine="0"/>
        <w:jc w:val="left"/>
        <w:rPr>
          <w:rFonts w:hint="eastAsia" w:ascii="仿宋" w:hAnsi="仿宋" w:eastAsia="仿宋" w:cs="仿宋"/>
          <w:b w:val="0"/>
          <w:bCs w:val="0"/>
          <w:sz w:val="22"/>
          <w:szCs w:val="22"/>
        </w:rPr>
        <w:sectPr>
          <w:footerReference r:id="rId10" w:type="default"/>
          <w:pgSz w:w="16838" w:h="11906" w:orient="landscape"/>
          <w:pgMar w:top="720" w:right="567" w:bottom="720" w:left="56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rPr>
          <w:trHeight w:val="319" w:hRule="atLeast"/>
        </w:trPr>
        <w:tc>
          <w:tcPr>
            <w:tcW w:w="15372" w:type="dxa"/>
            <w:gridSpan w:val="10"/>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财政拨款收入支出决算总表</w:t>
            </w:r>
          </w:p>
        </w:tc>
      </w:tr>
      <w:tr>
        <w:tblPrEx>
          <w:tblCellMar>
            <w:top w:w="55" w:type="dxa"/>
            <w:left w:w="55" w:type="dxa"/>
            <w:bottom w:w="55" w:type="dxa"/>
            <w:right w:w="55" w:type="dxa"/>
          </w:tblCellMar>
        </w:tblPrEx>
        <w:trPr>
          <w:trHeight w:val="319" w:hRule="atLeast"/>
        </w:trPr>
        <w:tc>
          <w:tcPr>
            <w:tcW w:w="5562"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635" w:type="dxa"/>
            <w:gridSpan w:val="2"/>
          </w:tcPr>
          <w:p>
            <w:pPr>
              <w:pStyle w:val="22"/>
              <w:widowControl w:val="0"/>
              <w:rPr>
                <w:rFonts w:hint="eastAsia" w:ascii="仿宋" w:hAnsi="仿宋" w:eastAsia="仿宋" w:cs="仿宋"/>
                <w:sz w:val="20"/>
              </w:rPr>
            </w:pPr>
          </w:p>
        </w:tc>
        <w:tc>
          <w:tcPr>
            <w:tcW w:w="1194" w:type="dxa"/>
          </w:tcPr>
          <w:p>
            <w:pPr>
              <w:pStyle w:val="22"/>
              <w:widowControl w:val="0"/>
              <w:rPr>
                <w:rFonts w:hint="eastAsia" w:ascii="仿宋" w:hAnsi="仿宋" w:eastAsia="仿宋" w:cs="仿宋"/>
                <w:sz w:val="20"/>
              </w:rPr>
            </w:pP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trHeight w:val="319" w:hRule="atLeast"/>
        </w:trPr>
        <w:tc>
          <w:tcPr>
            <w:tcW w:w="12151"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江苏省公安厅交通警察总队</w:t>
            </w: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1837"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667"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143"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37"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667"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4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5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7,986.93</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6,728.78</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6,728.78</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268.21</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268.21</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1,011.42</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1,011.42</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301.55</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301.55</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359" w:hRule="exact"/>
        </w:trPr>
        <w:tc>
          <w:tcPr>
            <w:tcW w:w="3725"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本年收入合计</w:t>
            </w:r>
          </w:p>
        </w:tc>
        <w:tc>
          <w:tcPr>
            <w:tcW w:w="1837"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7,986.93</w:t>
            </w:r>
          </w:p>
        </w:tc>
        <w:tc>
          <w:tcPr>
            <w:tcW w:w="3667"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本年支出合计</w:t>
            </w:r>
          </w:p>
        </w:tc>
        <w:tc>
          <w:tcPr>
            <w:tcW w:w="1728"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8,309.96</w:t>
            </w:r>
          </w:p>
        </w:tc>
        <w:tc>
          <w:tcPr>
            <w:tcW w:w="141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8,309.96</w:t>
            </w:r>
          </w:p>
        </w:tc>
        <w:tc>
          <w:tcPr>
            <w:tcW w:w="15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2,630.18</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2,307.15</w:t>
            </w: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2,307.15</w:t>
            </w: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2,630.18</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rPr>
          <w:cantSplit/>
          <w:trHeight w:val="322" w:hRule="exact"/>
        </w:trPr>
        <w:tc>
          <w:tcPr>
            <w:tcW w:w="372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83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10,617.11</w:t>
            </w:r>
          </w:p>
        </w:tc>
        <w:tc>
          <w:tcPr>
            <w:tcW w:w="366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10,617.11</w:t>
            </w:r>
          </w:p>
        </w:tc>
        <w:tc>
          <w:tcPr>
            <w:tcW w:w="141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10,617.11</w:t>
            </w:r>
          </w:p>
        </w:tc>
        <w:tc>
          <w:tcPr>
            <w:tcW w:w="15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ind w:left="0" w:leftChars="0" w:firstLine="0" w:firstLineChars="0"/>
        <w:jc w:val="both"/>
        <w:rPr>
          <w:rFonts w:hint="eastAsia" w:ascii="仿宋" w:hAnsi="仿宋" w:eastAsia="仿宋" w:cs="仿宋"/>
          <w:b w:val="0"/>
          <w:bCs w:val="0"/>
        </w:rPr>
      </w:pPr>
      <w:r>
        <w:rPr>
          <w:rFonts w:hint="eastAsia" w:ascii="仿宋" w:hAnsi="仿宋" w:eastAsia="仿宋" w:cs="仿宋"/>
          <w:b w:val="0"/>
          <w:bCs w:val="0"/>
          <w:lang w:val="en-US" w:eastAsia="zh-CN"/>
        </w:rPr>
        <w:t>注：</w:t>
      </w:r>
      <w:r>
        <w:rPr>
          <w:rFonts w:hint="eastAsia" w:ascii="仿宋" w:hAnsi="仿宋" w:eastAsia="仿宋" w:cs="仿宋"/>
          <w:b w:val="0"/>
          <w:bCs w:val="0"/>
        </w:rPr>
        <w:t>本表反映本年度一般公共预算财政拨款、政府性基金预算财政拨款和国有资本经营预算财政拨款的总收支和年末结转结余情况。本表金额单位转换时可能存在尾数误差。</w:t>
      </w:r>
    </w:p>
    <w:p>
      <w:pPr>
        <w:jc w:val="both"/>
        <w:rPr>
          <w:rFonts w:hint="eastAsia" w:ascii="仿宋" w:hAnsi="仿宋" w:eastAsia="仿宋" w:cs="仿宋"/>
          <w:b w:val="0"/>
          <w:bCs w:val="0"/>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CellMar>
            <w:top w:w="55" w:type="dxa"/>
            <w:left w:w="55" w:type="dxa"/>
            <w:bottom w:w="55" w:type="dxa"/>
            <w:right w:w="55" w:type="dxa"/>
          </w:tblCellMar>
        </w:tblPrEx>
        <w:trPr>
          <w:trHeight w:val="321" w:hRule="atLeast"/>
        </w:trPr>
        <w:tc>
          <w:tcPr>
            <w:tcW w:w="15417"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财政拨款支出决算表（功能科目）</w:t>
            </w:r>
          </w:p>
        </w:tc>
      </w:tr>
      <w:tr>
        <w:tblPrEx>
          <w:tblCellMar>
            <w:top w:w="55" w:type="dxa"/>
            <w:left w:w="55" w:type="dxa"/>
            <w:bottom w:w="55" w:type="dxa"/>
            <w:right w:w="55" w:type="dxa"/>
          </w:tblCellMar>
        </w:tblPrEx>
        <w:trPr>
          <w:trHeight w:val="321" w:hRule="atLeast"/>
        </w:trPr>
        <w:tc>
          <w:tcPr>
            <w:tcW w:w="6300" w:type="dxa"/>
            <w:gridSpan w:val="2"/>
          </w:tcPr>
          <w:p>
            <w:pPr>
              <w:pStyle w:val="22"/>
              <w:widowControl w:val="0"/>
              <w:rPr>
                <w:rFonts w:hint="eastAsia" w:ascii="仿宋" w:hAnsi="仿宋" w:eastAsia="仿宋" w:cs="仿宋"/>
                <w:sz w:val="20"/>
              </w:rPr>
            </w:pPr>
          </w:p>
        </w:tc>
        <w:tc>
          <w:tcPr>
            <w:tcW w:w="3184" w:type="dxa"/>
          </w:tcPr>
          <w:p>
            <w:pPr>
              <w:pStyle w:val="22"/>
              <w:widowControl w:val="0"/>
              <w:rPr>
                <w:rFonts w:hint="eastAsia" w:ascii="仿宋" w:hAnsi="仿宋" w:eastAsia="仿宋" w:cs="仿宋"/>
                <w:sz w:val="27"/>
              </w:rPr>
            </w:pPr>
          </w:p>
        </w:tc>
        <w:tc>
          <w:tcPr>
            <w:tcW w:w="593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CellMar>
            <w:top w:w="55" w:type="dxa"/>
            <w:left w:w="55" w:type="dxa"/>
            <w:bottom w:w="55" w:type="dxa"/>
            <w:right w:w="55" w:type="dxa"/>
          </w:tblCellMar>
        </w:tblPrEx>
        <w:trPr>
          <w:trHeight w:val="288" w:hRule="atLeast"/>
        </w:trPr>
        <w:tc>
          <w:tcPr>
            <w:tcW w:w="6300"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江苏省公安厅交通警察总队</w:t>
            </w:r>
          </w:p>
        </w:tc>
        <w:tc>
          <w:tcPr>
            <w:tcW w:w="3184"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15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84"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w:t>
            </w:r>
          </w:p>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502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84"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15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8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15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84"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8,309.96</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4,527.30</w:t>
            </w:r>
          </w:p>
        </w:tc>
        <w:tc>
          <w:tcPr>
            <w:tcW w:w="315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3,782.66</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公共安全支出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6,728.78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3,247.67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3,481.11</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公安</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6,728.78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3,247.67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3,481.11</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行政运行</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3,247.67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3,247.67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其他公安支出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3,481.11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3,481.11</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268.21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268.21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268.21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268.21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178.81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178.81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89.40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89.40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1,011.42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1,011.42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1,011.42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1,011.42</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319.59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319.59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691.83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691.83</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301.55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301.55</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301.55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301.55</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301.55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301.55</w:t>
            </w:r>
          </w:p>
        </w:tc>
      </w:tr>
    </w:tbl>
    <w:p>
      <w:pPr>
        <w:widowControl w:val="0"/>
        <w:tabs>
          <w:tab w:val="left" w:pos="0"/>
        </w:tabs>
        <w:suppressAutoHyphens/>
        <w:bidi w:val="0"/>
        <w:spacing w:before="0" w:after="0"/>
        <w:ind w:left="0" w:leftChars="0" w:right="0" w:firstLine="0" w:firstLineChars="0"/>
        <w:jc w:val="both"/>
        <w:rPr>
          <w:rFonts w:hint="eastAsia" w:ascii="仿宋" w:hAnsi="仿宋" w:eastAsia="仿宋" w:cs="仿宋"/>
          <w:b w:val="0"/>
          <w:bCs w:val="0"/>
        </w:rPr>
      </w:pPr>
      <w:r>
        <w:rPr>
          <w:rFonts w:hint="eastAsia" w:ascii="仿宋" w:hAnsi="仿宋" w:eastAsia="仿宋" w:cs="仿宋"/>
          <w:b w:val="0"/>
          <w:bCs w:val="0"/>
        </w:rPr>
        <w:t>注：本表反映本年度一般公共预算财政拨款、政府性基金预算财政拨款和国有资本经营预算财政拨款支出情况。本表金额单位转换时可能存在尾数误差。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val="0"/>
          <w:bCs w:val="0"/>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CellMar>
            <w:top w:w="55" w:type="dxa"/>
            <w:left w:w="55" w:type="dxa"/>
            <w:bottom w:w="55" w:type="dxa"/>
            <w:right w:w="55" w:type="dxa"/>
          </w:tblCellMar>
        </w:tblPrEx>
        <w:trPr>
          <w:trHeight w:val="319" w:hRule="atLeast"/>
        </w:trPr>
        <w:tc>
          <w:tcPr>
            <w:tcW w:w="10515"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财政拨款基本支出决算表（经济科目）</w:t>
            </w:r>
          </w:p>
        </w:tc>
      </w:tr>
      <w:tr>
        <w:tblPrEx>
          <w:tblCellMar>
            <w:top w:w="55" w:type="dxa"/>
            <w:left w:w="55" w:type="dxa"/>
            <w:bottom w:w="55" w:type="dxa"/>
            <w:right w:w="55" w:type="dxa"/>
          </w:tblCellMar>
        </w:tblPrEx>
        <w:trPr>
          <w:trHeight w:val="319" w:hRule="atLeast"/>
        </w:trPr>
        <w:tc>
          <w:tcPr>
            <w:tcW w:w="4532"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CellMar>
            <w:top w:w="55" w:type="dxa"/>
            <w:left w:w="55" w:type="dxa"/>
            <w:bottom w:w="55" w:type="dxa"/>
            <w:right w:w="55" w:type="dxa"/>
          </w:tblCellMar>
        </w:tblPrEx>
        <w:trPr>
          <w:trHeight w:val="319" w:hRule="atLeast"/>
        </w:trPr>
        <w:tc>
          <w:tcPr>
            <w:tcW w:w="8619"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江苏省公安厅交通警察总队</w:t>
            </w: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4,527.30</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3,936.34</w:t>
            </w:r>
          </w:p>
        </w:tc>
        <w:tc>
          <w:tcPr>
            <w:tcW w:w="189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590.96</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3,936.34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3,936.34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464.02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464.02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2,244.46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2,244.46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371.47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371.47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288.66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288.66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187.88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187.88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312.82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312.82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570.66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570.66</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25.57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25.57</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21.89</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3.26</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115.55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115.55</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0.11</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2.51</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52.26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52.26</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25.72</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82.55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82.55</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198.99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198.99</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 w:val="left" w:pos="10780"/>
        </w:tabs>
        <w:suppressAutoHyphens/>
        <w:bidi w:val="0"/>
        <w:spacing w:before="25" w:after="0" w:line="290" w:lineRule="auto"/>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注：本表反映本年度一般公共预算财政拨款、政府性基金预算财政拨款和国有资本经营预算财政拨款基本支出情况。本表金额单位转换时可能存在尾数误差。</w:t>
      </w:r>
    </w:p>
    <w:p>
      <w:pPr>
        <w:widowControl w:val="0"/>
        <w:numPr>
          <w:ilvl w:val="0"/>
          <w:numId w:val="0"/>
        </w:numPr>
        <w:suppressAutoHyphens/>
        <w:bidi w:val="0"/>
        <w:spacing w:before="0" w:after="0" w:line="255" w:lineRule="exact"/>
        <w:jc w:val="both"/>
        <w:rPr>
          <w:rFonts w:hint="eastAsia" w:ascii="仿宋" w:hAnsi="仿宋" w:eastAsia="仿宋" w:cs="仿宋"/>
          <w:b w:val="0"/>
          <w:bCs w:val="0"/>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rPr>
          <w:trHeight w:val="560" w:hRule="atLeast"/>
        </w:trPr>
        <w:tc>
          <w:tcPr>
            <w:tcW w:w="10446"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一般公共预算支出决算表（功能科目）</w:t>
            </w:r>
          </w:p>
        </w:tc>
      </w:tr>
      <w:tr>
        <w:tblPrEx>
          <w:tblCellMar>
            <w:top w:w="55" w:type="dxa"/>
            <w:left w:w="55" w:type="dxa"/>
            <w:bottom w:w="55" w:type="dxa"/>
            <w:right w:w="55" w:type="dxa"/>
          </w:tblCellMar>
        </w:tblPrEx>
        <w:trPr>
          <w:trHeight w:val="147" w:hRule="atLeast"/>
        </w:trPr>
        <w:tc>
          <w:tcPr>
            <w:tcW w:w="5466" w:type="dxa"/>
            <w:gridSpan w:val="2"/>
          </w:tcPr>
          <w:p>
            <w:pPr>
              <w:pStyle w:val="22"/>
              <w:widowControl w:val="0"/>
              <w:rPr>
                <w:rFonts w:hint="eastAsia" w:ascii="仿宋" w:hAnsi="仿宋" w:eastAsia="仿宋" w:cs="仿宋"/>
                <w:sz w:val="20"/>
              </w:rPr>
            </w:pPr>
          </w:p>
        </w:tc>
        <w:tc>
          <w:tcPr>
            <w:tcW w:w="1969" w:type="dxa"/>
          </w:tcPr>
          <w:p>
            <w:pPr>
              <w:pStyle w:val="22"/>
              <w:widowControl w:val="0"/>
              <w:rPr>
                <w:rFonts w:hint="eastAsia" w:ascii="仿宋" w:hAnsi="仿宋" w:eastAsia="仿宋" w:cs="仿宋"/>
                <w:sz w:val="20"/>
              </w:rPr>
            </w:pPr>
          </w:p>
        </w:tc>
        <w:tc>
          <w:tcPr>
            <w:tcW w:w="1499" w:type="dxa"/>
          </w:tcPr>
          <w:p>
            <w:pPr>
              <w:pStyle w:val="22"/>
              <w:widowControl w:val="0"/>
              <w:rPr>
                <w:rFonts w:hint="eastAsia" w:ascii="仿宋" w:hAnsi="仿宋" w:eastAsia="仿宋" w:cs="仿宋"/>
                <w:sz w:val="20"/>
              </w:rPr>
            </w:pPr>
          </w:p>
        </w:tc>
        <w:tc>
          <w:tcPr>
            <w:tcW w:w="1512"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CellMar>
            <w:top w:w="55" w:type="dxa"/>
            <w:left w:w="55" w:type="dxa"/>
            <w:bottom w:w="55" w:type="dxa"/>
            <w:right w:w="55" w:type="dxa"/>
          </w:tblCellMar>
        </w:tblPrEx>
        <w:trPr>
          <w:trHeight w:val="303" w:hRule="atLeast"/>
        </w:trPr>
        <w:tc>
          <w:tcPr>
            <w:tcW w:w="7435"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江苏省公安厅交通警察总队</w:t>
            </w:r>
          </w:p>
        </w:tc>
        <w:tc>
          <w:tcPr>
            <w:tcW w:w="3011"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49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8,309.96</w:t>
            </w:r>
          </w:p>
        </w:tc>
        <w:tc>
          <w:tcPr>
            <w:tcW w:w="149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4,527.30</w:t>
            </w:r>
          </w:p>
        </w:tc>
        <w:tc>
          <w:tcPr>
            <w:tcW w:w="1512"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3,782.66</w:t>
            </w: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公共安全支出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6,728.78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3,247.67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3,481.11</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公安</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6,728.78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3,247.67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3,481.11</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行政运行</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3,247.67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3,247.67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其他公安支出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3,481.11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3,481.11</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268.21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268.21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268.21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268.21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178.81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178.81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89.40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89.40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1,011.42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1,011.42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1,011.42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1,011.42</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319.59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319.59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691.83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691.83</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301.55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301.55</w:t>
            </w:r>
          </w:p>
        </w:tc>
      </w:tr>
      <w:tr>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301.55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301.55</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301.55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301.55</w:t>
            </w:r>
          </w:p>
        </w:tc>
      </w:tr>
    </w:tbl>
    <w:p>
      <w:pPr>
        <w:tabs>
          <w:tab w:val="left" w:pos="0"/>
        </w:tabs>
        <w:spacing w:before="25" w:after="0"/>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4"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blPrEx>
          <w:tblCellMar>
            <w:top w:w="55" w:type="dxa"/>
            <w:left w:w="55" w:type="dxa"/>
            <w:bottom w:w="55" w:type="dxa"/>
            <w:right w:w="55" w:type="dxa"/>
          </w:tblCellMar>
        </w:tblPrEx>
        <w:trPr>
          <w:trHeight w:val="319" w:hRule="atLeast"/>
        </w:trPr>
        <w:tc>
          <w:tcPr>
            <w:tcW w:w="10473" w:type="dxa"/>
            <w:gridSpan w:val="5"/>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一般公共预算基本支出决算表（经济科目）</w:t>
            </w:r>
          </w:p>
        </w:tc>
      </w:tr>
      <w:tr>
        <w:tblPrEx>
          <w:tblCellMar>
            <w:top w:w="55" w:type="dxa"/>
            <w:left w:w="55" w:type="dxa"/>
            <w:bottom w:w="55" w:type="dxa"/>
            <w:right w:w="55" w:type="dxa"/>
          </w:tblCellMar>
        </w:tblPrEx>
        <w:trPr>
          <w:trHeight w:val="199" w:hRule="atLeast"/>
        </w:trPr>
        <w:tc>
          <w:tcPr>
            <w:tcW w:w="8595" w:type="dxa"/>
            <w:gridSpan w:val="4"/>
            <w:vAlign w:val="center"/>
          </w:tcPr>
          <w:p>
            <w:pPr>
              <w:pStyle w:val="22"/>
              <w:widowControl w:val="0"/>
              <w:jc w:val="right"/>
              <w:rPr>
                <w:rFonts w:hint="eastAsia" w:ascii="仿宋" w:hAnsi="仿宋" w:eastAsia="仿宋" w:cs="仿宋"/>
                <w:color w:val="000000"/>
                <w:sz w:val="22"/>
                <w:szCs w:val="22"/>
                <w:lang w:eastAsia="zh-CN"/>
              </w:rPr>
            </w:pPr>
          </w:p>
        </w:tc>
        <w:tc>
          <w:tcPr>
            <w:tcW w:w="1878" w:type="dxa"/>
            <w:vAlign w:val="center"/>
          </w:tcPr>
          <w:p>
            <w:pPr>
              <w:pStyle w:val="22"/>
              <w:widowControl w:val="0"/>
              <w:jc w:val="right"/>
              <w:rPr>
                <w:rFonts w:hint="eastAsia" w:ascii="仿宋" w:hAnsi="仿宋" w:eastAsia="仿宋" w:cs="仿宋"/>
              </w:rPr>
            </w:pPr>
            <w:r>
              <w:rPr>
                <w:rFonts w:hint="eastAsia" w:ascii="仿宋" w:hAnsi="仿宋" w:eastAsia="仿宋" w:cs="仿宋"/>
              </w:rPr>
              <w:t>公开08表</w:t>
            </w:r>
          </w:p>
        </w:tc>
      </w:tr>
      <w:tr>
        <w:tblPrEx>
          <w:tblCellMar>
            <w:top w:w="55" w:type="dxa"/>
            <w:left w:w="55" w:type="dxa"/>
            <w:bottom w:w="55" w:type="dxa"/>
            <w:right w:w="55" w:type="dxa"/>
          </w:tblCellMar>
        </w:tblPrEx>
        <w:trPr>
          <w:trHeight w:val="320" w:hRule="atLeast"/>
        </w:trPr>
        <w:tc>
          <w:tcPr>
            <w:tcW w:w="8595"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江苏省公安厅交通警察总队</w:t>
            </w:r>
          </w:p>
        </w:tc>
        <w:tc>
          <w:tcPr>
            <w:tcW w:w="1878"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4,527.30</w:t>
            </w:r>
          </w:p>
        </w:tc>
        <w:tc>
          <w:tcPr>
            <w:tcW w:w="170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3,936.34</w:t>
            </w:r>
          </w:p>
        </w:tc>
        <w:tc>
          <w:tcPr>
            <w:tcW w:w="187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590.96</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3,936.34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3,936.34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464.02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464.02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2,244.46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2,244.46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371.47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371.47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288.66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288.66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187.88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187.88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312.82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312.82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570.66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570.66</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25.57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25.57</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21.89</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3.26</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115.55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115.55</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0.11</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2.51</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52.26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52.26</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4.20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25.72</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82.55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82.55</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198.99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198.99</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0" w:leftChars="0" w:right="-92" w:rightChars="-4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注：本表反映本年度一般公共预算财政拨款基本支出情况。本表金额单位转换时可能存在尾数误差。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rPr>
          <w:trHeight w:val="321" w:hRule="atLeast"/>
        </w:trPr>
        <w:tc>
          <w:tcPr>
            <w:tcW w:w="16486" w:type="dxa"/>
            <w:gridSpan w:val="16"/>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en-US" w:eastAsia="zh-CN" w:bidi="zh-CN"/>
              </w:rPr>
              <w:t>财政拨款“三公”经费、会议费和培训费支出决算表</w:t>
            </w:r>
          </w:p>
        </w:tc>
      </w:tr>
      <w:tr>
        <w:tblPrEx>
          <w:tblCellMar>
            <w:top w:w="55" w:type="dxa"/>
            <w:left w:w="55" w:type="dxa"/>
            <w:bottom w:w="55" w:type="dxa"/>
            <w:right w:w="55" w:type="dxa"/>
          </w:tblCellMar>
        </w:tblPrEx>
        <w:trPr>
          <w:trHeight w:val="207" w:hRule="atLeast"/>
        </w:trPr>
        <w:tc>
          <w:tcPr>
            <w:tcW w:w="16486" w:type="dxa"/>
            <w:gridSpan w:val="16"/>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江苏省公安厅交通警察总队</w:t>
            </w:r>
          </w:p>
        </w:tc>
        <w:tc>
          <w:tcPr>
            <w:tcW w:w="8274" w:type="dxa"/>
            <w:gridSpan w:val="8"/>
            <w:tcBorders>
              <w:bottom w:val="single" w:color="auto" w:sz="4" w:space="0"/>
            </w:tcBorders>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rPr>
            </w:pPr>
            <w:r>
              <w:rPr>
                <w:rFonts w:hint="eastAsia" w:ascii="仿宋" w:hAnsi="仿宋" w:eastAsia="仿宋" w:cs="仿宋"/>
                <w:lang w:val="en-US" w:eastAsia="zh-CN"/>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决算数</w:t>
            </w:r>
          </w:p>
        </w:tc>
      </w:tr>
      <w:tr>
        <w:tblPrEx>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010"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2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3"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r>
      <w:tr>
        <w:trPr>
          <w:cantSplit/>
          <w:trHeight w:val="380" w:hRule="atLeast"/>
        </w:trPr>
        <w:tc>
          <w:tcPr>
            <w:tcW w:w="104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56.50</w:t>
            </w:r>
          </w:p>
        </w:tc>
        <w:tc>
          <w:tcPr>
            <w:tcW w:w="104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50.00</w:t>
            </w:r>
          </w:p>
        </w:tc>
        <w:tc>
          <w:tcPr>
            <w:tcW w:w="102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50.00</w:t>
            </w:r>
          </w:p>
        </w:tc>
        <w:tc>
          <w:tcPr>
            <w:tcW w:w="102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6.50</w:t>
            </w:r>
          </w:p>
        </w:tc>
        <w:tc>
          <w:tcPr>
            <w:tcW w:w="104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28.23</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25.72</w:t>
            </w:r>
          </w:p>
        </w:tc>
        <w:tc>
          <w:tcPr>
            <w:tcW w:w="1089"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25.72</w:t>
            </w:r>
          </w:p>
        </w:tc>
        <w:tc>
          <w:tcPr>
            <w:tcW w:w="104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2.51</w:t>
            </w:r>
          </w:p>
        </w:tc>
        <w:tc>
          <w:tcPr>
            <w:tcW w:w="1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16.86</w:t>
            </w:r>
          </w:p>
        </w:tc>
        <w:tc>
          <w:tcPr>
            <w:tcW w:w="102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100.00</w:t>
            </w:r>
          </w:p>
        </w:tc>
      </w:tr>
    </w:tbl>
    <w:p>
      <w:pPr>
        <w:spacing w:before="30" w:after="33"/>
        <w:ind w:left="220" w:leftChars="100" w:firstLine="0" w:firstLineChars="0"/>
        <w:rPr>
          <w:rFonts w:hint="eastAsia" w:ascii="仿宋" w:hAnsi="仿宋" w:eastAsia="仿宋" w:cs="仿宋"/>
          <w:sz w:val="22"/>
          <w:szCs w:val="22"/>
        </w:rPr>
      </w:pPr>
      <w:r>
        <w:rPr>
          <w:rFonts w:hint="eastAsia" w:ascii="仿宋" w:hAnsi="仿宋" w:eastAsia="仿宋" w:cs="仿宋"/>
          <w:sz w:val="22"/>
          <w:szCs w:val="22"/>
        </w:rPr>
        <w:t>相关统计数：</w:t>
      </w:r>
    </w:p>
    <w:tbl>
      <w:tblPr>
        <w:tblStyle w:val="12"/>
        <w:tblW w:w="11798" w:type="dxa"/>
        <w:tblInd w:w="62" w:type="dxa"/>
        <w:tblLayout w:type="fixed"/>
        <w:tblCellMar>
          <w:top w:w="55" w:type="dxa"/>
          <w:left w:w="55" w:type="dxa"/>
          <w:bottom w:w="55" w:type="dxa"/>
          <w:right w:w="55" w:type="dxa"/>
        </w:tblCellMar>
      </w:tblPr>
      <w:tblGrid>
        <w:gridCol w:w="4028"/>
        <w:gridCol w:w="1976"/>
        <w:gridCol w:w="3908"/>
        <w:gridCol w:w="1886"/>
      </w:tblGrid>
      <w:tr>
        <w:tblPrEx>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22</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15</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192</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26</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451</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243</w:t>
            </w:r>
          </w:p>
        </w:tc>
      </w:tr>
    </w:tbl>
    <w:p>
      <w:pPr>
        <w:widowControl w:val="0"/>
        <w:suppressAutoHyphens/>
        <w:bidi w:val="0"/>
        <w:spacing w:before="0" w:after="0"/>
        <w:ind w:left="0" w:leftChars="0" w:right="-2"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本表反映本年度财政拨款“三公”经费、会议费和培训费支出情况。其中，预算数为全年预算数，反映按规定程序调整后的预算数；决算数是包括当年财政拨款和以前年度结转资金安排的实际支出。本表金额单位转换时可能存在尾数误差</w:t>
      </w:r>
      <w:r>
        <w:rPr>
          <w:rFonts w:hint="eastAsia" w:ascii="仿宋" w:hAnsi="仿宋" w:eastAsia="仿宋" w:cs="仿宋"/>
          <w:b w:val="0"/>
          <w:bCs w:val="0"/>
          <w:sz w:val="22"/>
          <w:szCs w:val="22"/>
        </w:rPr>
        <w:t>。</w:t>
      </w:r>
    </w:p>
    <w:p>
      <w:pPr>
        <w:widowControl w:val="0"/>
        <w:suppressAutoHyphens/>
        <w:bidi w:val="0"/>
        <w:spacing w:before="0" w:after="0"/>
        <w:ind w:left="227" w:right="0" w:firstLine="220" w:firstLineChars="100"/>
        <w:jc w:val="both"/>
        <w:rPr>
          <w:rFonts w:hint="eastAsia" w:ascii="仿宋" w:hAnsi="仿宋" w:eastAsia="仿宋" w:cs="仿宋"/>
          <w:b w:val="0"/>
          <w:bCs w:val="0"/>
          <w:sz w:val="22"/>
          <w:szCs w:val="22"/>
        </w:rPr>
        <w:sectPr>
          <w:footerReference r:id="rId16" w:type="default"/>
          <w:pgSz w:w="16838" w:h="11906" w:orient="landscape"/>
          <w:pgMar w:top="720" w:right="153" w:bottom="720" w:left="15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政府性基金预算支出决算表</w:t>
            </w:r>
          </w:p>
        </w:tc>
      </w:tr>
      <w:tr>
        <w:tblPrEx>
          <w:tblCellMar>
            <w:top w:w="55" w:type="dxa"/>
            <w:left w:w="55" w:type="dxa"/>
            <w:bottom w:w="55" w:type="dxa"/>
            <w:right w:w="55" w:type="dxa"/>
          </w:tblCellMar>
        </w:tblPrEx>
        <w:trPr>
          <w:trHeight w:val="323" w:hRule="atLeast"/>
        </w:trPr>
        <w:tc>
          <w:tcPr>
            <w:tcW w:w="8426" w:type="dxa"/>
            <w:gridSpan w:val="2"/>
          </w:tcPr>
          <w:p>
            <w:pPr>
              <w:pStyle w:val="22"/>
              <w:widowControl w:val="0"/>
              <w:rPr>
                <w:rFonts w:hint="eastAsia" w:ascii="仿宋" w:hAnsi="仿宋" w:eastAsia="仿宋" w:cs="仿宋"/>
                <w:sz w:val="20"/>
              </w:rPr>
            </w:pPr>
          </w:p>
        </w:tc>
        <w:tc>
          <w:tcPr>
            <w:tcW w:w="2684" w:type="dxa"/>
          </w:tcPr>
          <w:p>
            <w:pPr>
              <w:pStyle w:val="22"/>
              <w:widowControl w:val="0"/>
              <w:rPr>
                <w:rFonts w:hint="eastAsia" w:ascii="仿宋" w:hAnsi="仿宋" w:eastAsia="仿宋" w:cs="仿宋"/>
                <w:sz w:val="27"/>
              </w:rPr>
            </w:pPr>
          </w:p>
        </w:tc>
        <w:tc>
          <w:tcPr>
            <w:tcW w:w="2432" w:type="dxa"/>
          </w:tcPr>
          <w:p>
            <w:pPr>
              <w:pStyle w:val="22"/>
              <w:widowControl w:val="0"/>
              <w:rPr>
                <w:rFonts w:hint="eastAsia" w:ascii="仿宋" w:hAnsi="仿宋" w:eastAsia="仿宋" w:cs="仿宋"/>
                <w:sz w:val="20"/>
              </w:rPr>
            </w:pP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CellMar>
            <w:top w:w="55" w:type="dxa"/>
            <w:left w:w="55" w:type="dxa"/>
            <w:bottom w:w="55" w:type="dxa"/>
            <w:right w:w="55" w:type="dxa"/>
          </w:tblCellMar>
        </w:tblPrEx>
        <w:trPr>
          <w:trHeight w:val="152" w:hRule="atLeast"/>
        </w:trPr>
        <w:tc>
          <w:tcPr>
            <w:tcW w:w="13542"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江苏省公安厅交通警察总队</w:t>
            </w: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43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tblPrEx>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4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spacing w:before="25" w:after="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注：本表反映本年度政府性基金预算财政拨款支出情况。</w:t>
      </w:r>
    </w:p>
    <w:p>
      <w:pPr>
        <w:numPr>
          <w:ilvl w:val="0"/>
          <w:numId w:val="0"/>
        </w:numPr>
        <w:spacing w:before="25" w:after="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本单位无政府性基金预算收入支出决算，故本表为空。</w:t>
      </w:r>
    </w:p>
    <w:p>
      <w:pPr>
        <w:widowControl w:val="0"/>
        <w:numPr>
          <w:ilvl w:val="0"/>
          <w:numId w:val="0"/>
        </w:numPr>
        <w:suppressAutoHyphens/>
        <w:bidi w:val="0"/>
        <w:spacing w:before="25" w:after="0"/>
        <w:jc w:val="both"/>
        <w:rPr>
          <w:rFonts w:hint="default" w:ascii="仿宋" w:hAnsi="仿宋" w:eastAsia="仿宋" w:cs="仿宋"/>
          <w:b w:val="0"/>
          <w:bCs w:val="0"/>
          <w:sz w:val="22"/>
          <w:szCs w:val="22"/>
          <w:lang w:val="en-US" w:eastAsia="zh-CN"/>
        </w:rPr>
        <w:sectPr>
          <w:footerReference r:id="rId17"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国有资本经营预算支出决算表</w:t>
            </w:r>
          </w:p>
        </w:tc>
      </w:tr>
      <w:tr>
        <w:tblPrEx>
          <w:tblCellMar>
            <w:top w:w="55" w:type="dxa"/>
            <w:left w:w="55" w:type="dxa"/>
            <w:bottom w:w="55" w:type="dxa"/>
            <w:right w:w="55" w:type="dxa"/>
          </w:tblCellMar>
        </w:tblPrEx>
        <w:trPr>
          <w:trHeight w:val="323" w:hRule="atLeast"/>
        </w:trPr>
        <w:tc>
          <w:tcPr>
            <w:tcW w:w="8520" w:type="dxa"/>
            <w:gridSpan w:val="2"/>
          </w:tcPr>
          <w:p>
            <w:pPr>
              <w:pStyle w:val="22"/>
              <w:widowControl w:val="0"/>
              <w:rPr>
                <w:rFonts w:hint="eastAsia" w:ascii="仿宋" w:hAnsi="仿宋" w:eastAsia="仿宋" w:cs="仿宋"/>
                <w:sz w:val="20"/>
              </w:rPr>
            </w:pPr>
          </w:p>
        </w:tc>
        <w:tc>
          <w:tcPr>
            <w:tcW w:w="2510" w:type="dxa"/>
          </w:tcPr>
          <w:p>
            <w:pPr>
              <w:pStyle w:val="22"/>
              <w:widowControl w:val="0"/>
              <w:rPr>
                <w:rFonts w:hint="eastAsia" w:ascii="仿宋" w:hAnsi="仿宋" w:eastAsia="仿宋" w:cs="仿宋"/>
                <w:sz w:val="27"/>
              </w:rPr>
            </w:pPr>
          </w:p>
        </w:tc>
        <w:tc>
          <w:tcPr>
            <w:tcW w:w="2309" w:type="dxa"/>
          </w:tcPr>
          <w:p>
            <w:pPr>
              <w:pStyle w:val="22"/>
              <w:widowControl w:val="0"/>
              <w:rPr>
                <w:rFonts w:hint="eastAsia" w:ascii="仿宋" w:hAnsi="仿宋" w:eastAsia="仿宋" w:cs="仿宋"/>
                <w:sz w:val="20"/>
              </w:rPr>
            </w:pP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w:t>
            </w:r>
            <w:r>
              <w:rPr>
                <w:rFonts w:hint="eastAsia" w:ascii="仿宋" w:hAnsi="仿宋" w:eastAsia="仿宋" w:cs="仿宋"/>
                <w:lang w:val="en-US" w:eastAsia="zh-CN"/>
              </w:rPr>
              <w:t>1</w:t>
            </w:r>
            <w:r>
              <w:rPr>
                <w:rFonts w:hint="eastAsia" w:ascii="仿宋" w:hAnsi="仿宋" w:eastAsia="仿宋" w:cs="仿宋"/>
              </w:rPr>
              <w:t>表</w:t>
            </w:r>
          </w:p>
        </w:tc>
      </w:tr>
      <w:tr>
        <w:tblPrEx>
          <w:tblCellMar>
            <w:top w:w="55" w:type="dxa"/>
            <w:left w:w="55" w:type="dxa"/>
            <w:bottom w:w="55" w:type="dxa"/>
            <w:right w:w="55" w:type="dxa"/>
          </w:tblCellMar>
        </w:tblPrEx>
        <w:trPr>
          <w:trHeight w:val="152" w:hRule="atLeast"/>
        </w:trPr>
        <w:tc>
          <w:tcPr>
            <w:tcW w:w="13339"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江苏省公安厅交通警察总队</w:t>
            </w: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30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tblPrEx>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0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bidi w:val="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注：本表反映本年度国有资本经营预算财政拨款支出情况。</w:t>
      </w:r>
    </w:p>
    <w:p>
      <w:pPr>
        <w:numPr>
          <w:ilvl w:val="0"/>
          <w:numId w:val="0"/>
        </w:numPr>
        <w:bidi w:val="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w:t>
      </w:r>
      <w:r>
        <w:rPr>
          <w:rFonts w:hint="eastAsia" w:ascii="仿宋" w:hAnsi="仿宋" w:eastAsia="仿宋" w:cs="仿宋"/>
          <w:b w:val="0"/>
          <w:bCs w:val="0"/>
          <w:sz w:val="22"/>
          <w:szCs w:val="22"/>
        </w:rPr>
        <w:t>国有资本经营预算支出</w:t>
      </w:r>
      <w:r>
        <w:rPr>
          <w:rFonts w:hint="eastAsia" w:ascii="仿宋" w:hAnsi="仿宋" w:eastAsia="仿宋" w:cs="仿宋"/>
          <w:b w:val="0"/>
          <w:bCs w:val="0"/>
          <w:sz w:val="22"/>
          <w:szCs w:val="22"/>
          <w:lang w:val="en-US" w:eastAsia="zh-CN"/>
        </w:rPr>
        <w:t>决算，故本表为空。</w:t>
      </w:r>
    </w:p>
    <w:p>
      <w:pPr>
        <w:spacing w:before="25" w:after="0"/>
        <w:ind w:left="-220" w:leftChars="-100" w:firstLine="0" w:firstLineChars="0"/>
        <w:jc w:val="both"/>
        <w:rPr>
          <w:rFonts w:hint="default" w:ascii="仿宋" w:hAnsi="仿宋" w:eastAsia="仿宋" w:cs="仿宋"/>
          <w:b w:val="0"/>
          <w:bCs w:val="0"/>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66" w:type="dxa"/>
        <w:tblInd w:w="53" w:type="dxa"/>
        <w:tblLayout w:type="fixed"/>
        <w:tblCellMar>
          <w:top w:w="55" w:type="dxa"/>
          <w:left w:w="55" w:type="dxa"/>
          <w:bottom w:w="55" w:type="dxa"/>
          <w:right w:w="55" w:type="dxa"/>
        </w:tblCellMar>
      </w:tblPr>
      <w:tblGrid>
        <w:gridCol w:w="1642"/>
        <w:gridCol w:w="4990"/>
        <w:gridCol w:w="3834"/>
      </w:tblGrid>
      <w:tr>
        <w:tblPrEx>
          <w:tblCellMar>
            <w:top w:w="55" w:type="dxa"/>
            <w:left w:w="55" w:type="dxa"/>
            <w:bottom w:w="55" w:type="dxa"/>
            <w:right w:w="55" w:type="dxa"/>
          </w:tblCellMar>
        </w:tblPrEx>
        <w:trPr>
          <w:trHeight w:val="319" w:hRule="atLeast"/>
        </w:trPr>
        <w:tc>
          <w:tcPr>
            <w:tcW w:w="10466" w:type="dxa"/>
            <w:gridSpan w:val="3"/>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cs="宋体"/>
                <w:b/>
                <w:bCs/>
                <w:color w:val="000000"/>
                <w:kern w:val="0"/>
                <w:sz w:val="36"/>
                <w:szCs w:val="36"/>
                <w:lang w:val="en-US" w:eastAsia="ar-SA" w:bidi="zh-CN"/>
              </w:rPr>
              <w:t>财政拨款</w:t>
            </w:r>
            <w:r>
              <w:rPr>
                <w:rFonts w:hint="eastAsia" w:ascii="宋体" w:hAnsi="宋体" w:eastAsia="宋体" w:cs="宋体"/>
                <w:b/>
                <w:bCs/>
                <w:color w:val="000000"/>
                <w:kern w:val="0"/>
                <w:sz w:val="36"/>
                <w:szCs w:val="36"/>
                <w:lang w:val="zh-CN" w:eastAsia="ar-SA" w:bidi="zh-CN"/>
              </w:rPr>
              <w:t>机关运行经费支出决算表</w:t>
            </w:r>
          </w:p>
        </w:tc>
      </w:tr>
      <w:tr>
        <w:tblPrEx>
          <w:tblCellMar>
            <w:top w:w="55" w:type="dxa"/>
            <w:left w:w="55" w:type="dxa"/>
            <w:bottom w:w="55" w:type="dxa"/>
            <w:right w:w="55" w:type="dxa"/>
          </w:tblCellMar>
        </w:tblPrEx>
        <w:trPr>
          <w:trHeight w:val="90" w:hRule="atLeast"/>
        </w:trPr>
        <w:tc>
          <w:tcPr>
            <w:tcW w:w="6632" w:type="dxa"/>
            <w:gridSpan w:val="2"/>
          </w:tcPr>
          <w:p>
            <w:pPr>
              <w:pStyle w:val="22"/>
              <w:widowControl w:val="0"/>
              <w:rPr>
                <w:rFonts w:hint="eastAsia" w:ascii="仿宋" w:hAnsi="仿宋" w:eastAsia="仿宋" w:cs="仿宋"/>
                <w:sz w:val="20"/>
              </w:rPr>
            </w:pPr>
          </w:p>
        </w:tc>
        <w:tc>
          <w:tcPr>
            <w:tcW w:w="3834"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6632" w:type="dxa"/>
            <w:gridSpan w:val="2"/>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江苏省公安厅交通警察总队</w:t>
            </w:r>
          </w:p>
        </w:tc>
        <w:tc>
          <w:tcPr>
            <w:tcW w:w="3834"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834"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834"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590.95</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570.66</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25.57</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21.89</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3.26</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115.55</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32.90</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4.78</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0.11</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0.38</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2.51</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52.26</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4.20</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25.72</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82.55</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198.99</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20.30</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20.30</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spacing w:before="25" w:after="0"/>
        <w:ind w:left="0" w:leftChars="0" w:right="-92" w:rightChars="-42"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注：“机关运行经费” 指行政单位（含参照公务员法管理的事业单位）使用</w:t>
      </w:r>
      <w:r>
        <w:rPr>
          <w:rFonts w:hint="eastAsia" w:ascii="仿宋" w:hAnsi="仿宋" w:eastAsia="仿宋" w:cs="仿宋"/>
          <w:b w:val="0"/>
          <w:bCs w:val="0"/>
          <w:sz w:val="22"/>
          <w:szCs w:val="22"/>
          <w:lang w:val="en-US" w:eastAsia="zh-CN"/>
        </w:rPr>
        <w:t>财政拨款</w:t>
      </w:r>
      <w:r>
        <w:rPr>
          <w:rFonts w:hint="eastAsia" w:ascii="仿宋" w:hAnsi="仿宋" w:eastAsia="仿宋" w:cs="仿宋"/>
          <w:b w:val="0"/>
          <w:bCs w:val="0"/>
          <w:sz w:val="22"/>
          <w:szCs w:val="22"/>
        </w:rPr>
        <w:t>安排的基本支出中的日常公用经费支出，包括办公及印刷费、邮电费、差旅费、会议费、福利费、日常维修费、专用材料及一般设备购置费、办公用房水电费、办公用房取暖费、办公用房物业管理费、公务用车运行维护费及其他费用。本表金额单位转换时可能存在尾数误差。</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lang w:val="en-US" w:eastAsia="zh-CN"/>
        </w:rPr>
        <w:sectPr>
          <w:footerReference r:id="rId18" w:type="default"/>
          <w:type w:val="continuous"/>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59" w:type="dxa"/>
        <w:tblInd w:w="45" w:type="dxa"/>
        <w:tblLayout w:type="fixed"/>
        <w:tblCellMar>
          <w:top w:w="55" w:type="dxa"/>
          <w:left w:w="55" w:type="dxa"/>
          <w:bottom w:w="55" w:type="dxa"/>
          <w:right w:w="55" w:type="dxa"/>
        </w:tblCellMar>
      </w:tblPr>
      <w:tblGrid>
        <w:gridCol w:w="4472"/>
        <w:gridCol w:w="722"/>
        <w:gridCol w:w="1992"/>
        <w:gridCol w:w="3273"/>
      </w:tblGrid>
      <w:tr>
        <w:tblPrEx>
          <w:tblCellMar>
            <w:top w:w="55" w:type="dxa"/>
            <w:left w:w="55" w:type="dxa"/>
            <w:bottom w:w="55" w:type="dxa"/>
            <w:right w:w="55" w:type="dxa"/>
          </w:tblCellMar>
        </w:tblPrEx>
        <w:trPr>
          <w:trHeight w:val="333" w:hRule="atLeast"/>
        </w:trPr>
        <w:tc>
          <w:tcPr>
            <w:tcW w:w="10459" w:type="dxa"/>
            <w:gridSpan w:val="4"/>
            <w:vAlign w:val="center"/>
          </w:tcPr>
          <w:p>
            <w:pPr>
              <w:pStyle w:val="22"/>
              <w:widowControl w:val="0"/>
              <w:bidi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政府采购支出决算表</w:t>
            </w:r>
          </w:p>
        </w:tc>
      </w:tr>
      <w:tr>
        <w:tblPrEx>
          <w:tblCellMar>
            <w:top w:w="55" w:type="dxa"/>
            <w:left w:w="55" w:type="dxa"/>
            <w:bottom w:w="55" w:type="dxa"/>
            <w:right w:w="55" w:type="dxa"/>
          </w:tblCellMar>
        </w:tblPrEx>
        <w:trPr>
          <w:trHeight w:val="333" w:hRule="atLeast"/>
        </w:trPr>
        <w:tc>
          <w:tcPr>
            <w:tcW w:w="4472" w:type="dxa"/>
          </w:tcPr>
          <w:p>
            <w:pPr>
              <w:pStyle w:val="22"/>
              <w:widowControl w:val="0"/>
              <w:bidi w:val="0"/>
              <w:rPr>
                <w:rFonts w:hint="eastAsia" w:ascii="仿宋" w:hAnsi="仿宋" w:eastAsia="仿宋" w:cs="仿宋"/>
              </w:rPr>
            </w:pPr>
          </w:p>
        </w:tc>
        <w:tc>
          <w:tcPr>
            <w:tcW w:w="72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江苏省公安厅交通警察总队</w:t>
            </w: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lang w:val="en-US" w:eastAsia="zh-CN"/>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1,651.10</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293.00</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1,358.10</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政府采购支出信息为单位纳入部门预算范围的各项政府采购支出情况。本表金额单位转换时可能存在尾数误差</w:t>
      </w:r>
      <w:r>
        <w:rPr>
          <w:rFonts w:hint="eastAsia" w:ascii="仿宋" w:hAnsi="仿宋" w:eastAsia="仿宋" w:cs="仿宋"/>
          <w:b w:val="0"/>
          <w:bCs w:val="0"/>
          <w:sz w:val="22"/>
          <w:szCs w:val="22"/>
        </w:rPr>
        <w:t>。</w:t>
      </w:r>
    </w:p>
    <w:p>
      <w:pPr>
        <w:numPr>
          <w:ilvl w:val="0"/>
          <w:numId w:val="0"/>
        </w:numPr>
        <w:bidi w:val="0"/>
        <w:ind w:left="440" w:leftChars="200" w:firstLine="0" w:firstLineChars="0"/>
        <w:jc w:val="both"/>
        <w:rPr>
          <w:rFonts w:hint="eastAsia" w:ascii="仿宋" w:hAnsi="仿宋" w:eastAsia="仿宋" w:cs="仿宋"/>
          <w:b w:val="0"/>
          <w:bCs w:val="0"/>
          <w:sz w:val="22"/>
          <w:szCs w:val="22"/>
        </w:rPr>
        <w:sectPr>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outlineLvl w:val="0"/>
        <w:rPr>
          <w:rFonts w:hint="eastAsia" w:ascii="宋体" w:hAnsi="宋体" w:eastAsia="宋体" w:cs="宋体"/>
          <w:b/>
          <w:bCs/>
          <w:color w:val="000000"/>
          <w:kern w:val="0"/>
          <w:sz w:val="36"/>
          <w:szCs w:val="36"/>
          <w:lang w:val="zh-CN" w:eastAsia="ar-SA" w:bidi="zh-CN"/>
        </w:rPr>
      </w:pPr>
      <w:r>
        <w:rPr>
          <w:rFonts w:hint="eastAsia" w:ascii="宋体" w:hAnsi="宋体" w:eastAsia="宋体" w:cs="宋体"/>
          <w:b/>
          <w:bCs/>
          <w:color w:val="000000"/>
          <w:kern w:val="0"/>
          <w:sz w:val="36"/>
          <w:szCs w:val="36"/>
          <w:lang w:val="zh-CN" w:eastAsia="ar-SA" w:bidi="zh-CN"/>
        </w:rPr>
        <w:t>第三部分</w:t>
      </w:r>
      <w:r>
        <w:rPr>
          <w:rFonts w:hint="eastAsia" w:ascii="宋体" w:hAnsi="宋体" w:eastAsia="宋体" w:cs="宋体"/>
          <w:b/>
          <w:bCs/>
          <w:color w:val="000000"/>
          <w:kern w:val="0"/>
          <w:sz w:val="36"/>
          <w:szCs w:val="36"/>
          <w:lang w:val="en-US" w:eastAsia="zh-CN" w:bidi="zh-CN"/>
        </w:rPr>
        <w:t xml:space="preserve"> </w:t>
      </w:r>
      <w:r>
        <w:rPr>
          <w:rFonts w:hint="eastAsia" w:ascii="宋体" w:hAnsi="宋体" w:eastAsia="宋体" w:cs="宋体"/>
          <w:b/>
          <w:bCs/>
          <w:color w:val="000000"/>
          <w:kern w:val="0"/>
          <w:sz w:val="36"/>
          <w:szCs w:val="36"/>
          <w:lang w:val="zh-CN" w:eastAsia="zh-CN" w:bidi="zh-CN"/>
        </w:rPr>
        <w:t>2022</w:t>
      </w:r>
      <w:r>
        <w:rPr>
          <w:rFonts w:hint="eastAsia" w:ascii="宋体" w:hAnsi="宋体" w:eastAsia="宋体" w:cs="宋体"/>
          <w:b/>
          <w:bCs/>
          <w:color w:val="000000"/>
          <w:kern w:val="0"/>
          <w:sz w:val="36"/>
          <w:szCs w:val="36"/>
          <w:lang w:val="zh-CN" w:eastAsia="ar-SA" w:bidi="zh-CN"/>
        </w:rPr>
        <w:t>年度</w:t>
      </w:r>
      <w:r>
        <w:rPr>
          <w:rFonts w:ascii="宋体" w:hAnsi="宋体" w:eastAsia="宋体" w:cs="宋体"/>
          <w:b/>
          <w:color w:val="000000"/>
          <w:sz w:val="36"/>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2022年度收入、支出决算总计14,585.47万元。与上年相比，收、支总计各减少424.67万元，减少2.83%。其中：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（一）收入决算总计14,585.47万元。包括：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1.本年收入决算合计7,986.93万元。与上年相比，减少2,904.21万元，减少26.67%，变动原因：上年省财政追加省级公安交通管理综合应用平台和互联网交通安全综合服务管理平台项目2900万，本年无此项目。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2.使用非财政拨款结余0万元。与上年决算数相同。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3.年初结转和结余6,598.54万元。与上年相比，增加2,479.55万元，增长60.2%，变动原因：科技信息化项目尚未竣工或已竣工但未触发付款规则条限未付款导致结余结转增加。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（二）支出决算总计14,585.47万元。包括：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1.本年支出决算合计8,309.99万元。与上年相比，增加636.99万元，增长8.3%，变动原因：人员经费、交管科技信息化建设项目支出增加。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2.结余分配0万元。与上年决算数相同。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末结转和结余6,275.48万元。结转和结余事项：交管科技信息化建设项目等结转结余。与上年相比，减少1,061.66万元，减少14.47%，变动原因：省财政追加省级公安交通管理综合应用平台和互联网交通安全综合服务管理平台项目结余结转导致上年结余结转增加。以及上年因项目建设进度较小，本年加快各项目建设，支出增加，结余结转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收入决算合计7,986.93万元，其中：财政拨款收入7,986.93万元，占100%；上级补助收入0万元，占0%；财政专户管理教育收费0万元，占0%；事业收入（不含专户管理教育收费）0万元，占0%；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2022年度本年支出决算合计8,309.99万元，其中：基本支出4,527.3万元，占54.48%；项目支出3,782.69万元，占45.52%；上缴上级支出0万元，占0%；经营支出0万元，占0%；对附属单位补助支出0万元，占0%。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1"/>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2022年度财政拨款收入、支出决算总计10,617.11万元。与上年相比，收、支总计各减少424.67万元，减少3.85%，变动原因：响应财政压减资金开支，减少不必要财政经费支出。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2022年度财政拨款支出决算8,309.96万元，占本年支出合计的100%（该占比四舍五入后为100%）。与2022年度财政拨款支出年初预算7,627.58万元相比，完成年初预算的108.95%。其中：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（一）公共安全支出（类）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1.公安（款）行政运行（项）。年初预算2,533.95万元，支出决算3,247.67万元，完成年初预算的128.17%。决算数与年初预算数的差异原因：部分资金使用上年度结余结转资金。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安（款）其他公安支出（项）。年初预算3,814万元，支出决算3,481.11万元，完成年初预算的91.27%。决算数与年初预算数的差异原因：运行项目因尚在建设或已建设竣工但未达到触发付款条件的无法付款，故而造成差异。</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1.行政事业单位养老支出（款）机关事业单位基本养老保险缴费支出（项）。年初预算178.81万元，支出决算178.81万元，完成年初预算的100%。决算数与年初预算数相同。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2.行政事业单位养老支出（款）机关事业单位职业年金缴费支出（项）。年初预算89.4万元，支出决算89.4万元，完成年初预算的100%。决算数与年初预算数相同。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1.住房改革支出（款）住房公积金（项）。年初预算319.59万元，支出决算319.59万元，完成年初预算的100%。决算数与年初预算数相同。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2.住房改革支出（款）提租补贴（项）。年初预算691.83万元，支出决算691.83万元，完成年初预算的100%。决算数与年初预算数相同。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其他支出（款）其他支出（项）。年初预算0万元，支出决算301.55万元，（年初预算数为0万元，无法计算完成比率）决算数与年初预算数的差异原因：资本性支出科技网络及软件购置更新经费增加。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2022年度财政拨款基本支出决算4,527.3万元，其中：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（一）人员经费3,936.34万元。</w:t>
      </w:r>
      <w:r>
        <w:rPr>
          <w:rFonts w:ascii="仿宋" w:hAnsi="仿宋" w:eastAsia="仿宋" w:cs="仿宋"/>
        </w:rPr>
        <w:t>主要包括：基本工资、津贴补贴、奖金、机关事业单位基本养老保险缴费、职业年金缴费、住房公积金、其他工资福利支出。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（二）公用经费590.96万元。</w:t>
      </w:r>
      <w:r>
        <w:rPr>
          <w:rFonts w:ascii="仿宋" w:hAnsi="仿宋" w:eastAsia="仿宋" w:cs="仿宋"/>
        </w:rPr>
        <w:t>主要包括：办公费、印刷费、邮电费、差旅费、维修（护）费、租赁费、会议费、培训费、公务接待费、专用材料费、劳务费、公务用车运行维护费、其他交通费用、其他商品和服务支出、办公设备购置。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2022年度一般公共预算财政拨款支出决算8,309.96万元。与上年相比，增加636.96万元，增长8.3%，变动原因：部分资金使用上年度结余结转资金。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2022年度一般公共预算财政拨款基本支出决算4,527.3万元，其中：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（一）人员经费3,936.34万元。</w:t>
      </w:r>
      <w:r>
        <w:rPr>
          <w:rFonts w:ascii="仿宋" w:hAnsi="仿宋" w:eastAsia="仿宋" w:cs="仿宋"/>
        </w:rPr>
        <w:t>主要包括：基本工资、津贴补贴、奖金、机关事业单位基本养老保险缴费、职业年金缴费、住房公积金、其他工资福利支出。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（二）公用经费590.96万元。</w:t>
      </w:r>
      <w:r>
        <w:rPr>
          <w:rFonts w:ascii="仿宋" w:hAnsi="仿宋" w:eastAsia="仿宋" w:cs="仿宋"/>
        </w:rPr>
        <w:t>主要包括：办公费、印刷费、邮电费、差旅费、维修（护）费、租赁费、会议费、培训费、公务接待费、专用材料费、劳务费、公务用车运行维护费、其他交通费用、其他商品和服务支出、办公设备购置。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九、财政拨款“三公”经费、会议费和培训费支出情况说明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（一）财政拨款“三公”经费支出总体情况说明。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三公”经费支出决算28.23万元（其中：一般公共预算支出28.23万元；政府性基金预算支出0万元；国有资本经营预算支出0万元）。与上年相比，减少37.89万元，变动原因：响应财政压减开支等原因，经费减少。其中，因公出国（境）费支出0万元，占“三公”经费的0%；公务用车购置及运行维护费支出25.72万元，占“三公”经费的91.11%；公务接待费支出2.51万元，占“三公”经费的8.89%。</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（二）财政拨款“三公”经费支出具体情况说明。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支出预算0万元（其中：一般公共预算支出0万元；政府性基金预算支出0万元；国有资本经营预算支出0万元），支出决算0万元（其中：一般公共预算支出0万元；政府性基金预算支出0万元；国有资本经营预算支出0万元），完成预算的100%，决算数与预算数相同。全年使用财政拨款涉及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预算50万元（其中：一般公共预算支出50万元；政府性基金预算支出0万元；国有资本经营预算支出0万元），支出决算25.72万元（其中：一般公共预算支出25.72万元；政府性基金预算支出0万元；国有资本经营预算支出0万元），完成预算的51.44%，决算数与预算数的差异原因：公车运行维护措施压降明显有效，部分公车运行维护支出尚未清算。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（1）公务用车购置支出决算0万元。本年度使用财政拨款购置公务用车0辆。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支出决算25.72万元。公务用车运行维护费主要用于按规定保留的公务用车的燃料费、维修费、过桥过路费、保险费、安全奖励费用等支出。截至2022年12月31日，使用财政拨款开支的公务用车保有量为22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支出预算6.5万元（其中：一般公共预算支出6.5万元；政府性基金预算支出0万元；国有资本经营预算支出0万元），支出决算2.51万元（其中：一般公共预算支出2.51万元；政府性基金预算支出0万元；国有资本经营预算支出0万元），完成预算的38.62%，决算数与预算数的差异原因：公务接待措施压降明显有效，部分公务接待支出尚未清算。其中：国内公务接待支出2.51万元，接待15批次，192人次，开支内容：接待外省份总队在本总队期间发生的公务接待费用等；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（三）财政拨款会议费支出决算情况说明。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会议费支出预算0万元（其中：一般公共预算支出0万元；政府性基金预算支出0万元；国有资本经营预算支出0万元），支出决算16.86万元（其中：一般公共预算支出16.86万元；政府性基金预算支出0万元；国有资本经营预算支出0万元），（预算数为0万元，无法计算完成比率），决算数与预算数的差异原因：用上年结转会议费用列支。2022年度全年召开会议26个，参加会议451人次，开支内容：全省公安交通管理工作会议、防控输入性交通安全风险工作专题部署会等。</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（四）财政拨款培训费支出决算情况说明。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培训费支出预算0万元（其中：一般公共预算支出0万元；政府性基金预算支出0万元；国有资本经营预算支出0万元），支出决算100万元（其中：一般公共预算支出100万元；政府性基金预算支出0万元；国有资本经营预算支出0万元），（预算数为0万元，无法计算完成比率），决算数与预算数的差异原因：用上年结转培训费用列支。2022年度全年组织培训4个，组织培训243人次，开支内容：全省农村交警中队长培训班（一期）、（二期）、新媒体培训营等。</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2022年度政府性基金预算财政拨款支出决算0万元。与上年决算数相同。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2022年度国有资本经营预算财政拨款支出决算0万元。与上年决算数相同。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十二、财政拨款机关运行经费支出决算情况说明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机关运行经费支出决算590.95万元（其中：一般公共预算支出590.95万元；政府性基金预算支出0万元；国有资本经营预算支出0万元）。与上年相比，增加34.7万元，增长6.24%，变动原因：总队部分资产到达检修维保年限，故而机关运行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采购支出总额1,651.1万元，其中：政府采购货物支出293万元、政府采购工程支出0万元、政府采购服务支出1,358.1万元。政府采购授予中小企业合同金额0万元，占政府采购支出总额的0%，其中：授予小微企业合同金额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本单位共有车辆22辆，其中，一般公务用车0辆、执法执勤用车20辆、特种专业技术用车0辆、业务用车0辆、其他用车2辆等。单价100万元（含）以上的设备0台（不含车辆）。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十五、预算绩效评价工作开展情况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2022年度，本单位共0个项目开展了财政绩效评价，涉及财政性资金合计0万元；本单位未开展单位整体支出财政绩效评价，涉及财政性资金0万元。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2022年度，本单位共5个项目开展了绩效自评价，涉及财政性资金合计2,380万元；本单位共开展1项单位整体支出绩效自评价，涉及财政性资金合计6,193.58万元。</w:t>
      </w:r>
    </w:p>
    <w:p>
      <w:pPr>
        <w:pStyle w:val="5"/>
        <w:tabs>
          <w:tab w:val="left" w:pos="3077"/>
        </w:tabs>
        <w:spacing w:line="616" w:lineRule="exact"/>
        <w:jc w:val="center"/>
        <w:outlineLvl w:val="0"/>
        <w:rPr>
          <w:rFonts w:hint="eastAsia" w:ascii="宋体" w:hAnsi="宋体" w:eastAsia="宋体" w:cs="宋体"/>
          <w:b/>
          <w:bCs/>
          <w:sz w:val="36"/>
          <w:szCs w:val="36"/>
        </w:rPr>
      </w:pPr>
      <w:r>
        <w:rPr>
          <w:rFonts w:hint="eastAsia" w:ascii="宋体" w:hAnsi="宋体" w:eastAsia="宋体" w:cs="宋体"/>
          <w:b/>
          <w:bCs/>
          <w:sz w:val="36"/>
          <w:szCs w:val="36"/>
        </w:rPr>
        <w:t>第四部分 名词</w:t>
      </w:r>
      <w:r>
        <w:rPr>
          <w:rFonts w:hint="eastAsia" w:ascii="宋体" w:hAnsi="宋体" w:eastAsia="宋体" w:cs="宋体"/>
          <w:b/>
          <w:bCs/>
          <w:color w:val="000000"/>
          <w:kern w:val="0"/>
          <w:sz w:val="36"/>
          <w:szCs w:val="36"/>
          <w:lang w:val="zh-CN" w:eastAsia="ar-SA" w:bidi="zh-CN"/>
        </w:rPr>
        <w:t>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财政拨款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十九、公共安全支出(类)公安(款)行政运行(项)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二十、公共安全支出(类)公安(款)其他公安支出(项)</w:t>
      </w:r>
      <w:r>
        <w:rPr>
          <w:rFonts w:ascii="仿宋" w:hAnsi="仿宋" w:eastAsia="仿宋" w:cs="仿宋"/>
          <w:b/>
        </w:rPr>
        <w:t>：</w:t>
      </w:r>
      <w:r>
        <w:rPr>
          <w:rFonts w:hint="eastAsia" w:ascii="仿宋" w:hAnsi="仿宋" w:eastAsia="仿宋" w:cs="仿宋"/>
        </w:rPr>
        <w:t>反映除上述项目以外其他用于公安方面的支出。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二十五、其他支出(类)其他支出(款)其他支出(项)</w:t>
      </w:r>
      <w:r>
        <w:rPr>
          <w:rFonts w:ascii="仿宋" w:hAnsi="仿宋" w:eastAsia="仿宋" w:cs="仿宋"/>
          <w:b/>
        </w:rPr>
        <w:t>：</w:t>
      </w:r>
      <w:r>
        <w:rPr>
          <w:rFonts w:hint="eastAsia" w:ascii="仿宋" w:hAnsi="仿宋" w:eastAsia="仿宋" w:cs="仿宋"/>
        </w:rPr>
        <w:t>反映除上述项目以外其他不能划分到具体功能科目中的支出项目。</w:t>
      </w:r>
    </w:p>
    <w:sectPr>
      <w:pgSz w:w="11906" w:h="16838"/>
      <w:pgMar w:top="1440" w:right="1080" w:bottom="1440" w:left="1080"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DDc8oBAACc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DDc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FLFt8sBAACdAwAADgAAAGRycy9lMm9Eb2MueG1srVNLbtswEN0XyB0I&#10;7mPKKlA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BjehpMRygxM/f/92/vHr/PMr&#10;WRZvyyRR76HCzCePuXG4cwOmz35AZ2I+tMGkL3IiGEeBTxeB5RCJSI9W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PRSxbf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D5fXgH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pyfbb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NBmKszAEAAJ0DAAAOAAAAAAAAAAEAIAAAAB4BAABkcnMvZTJv&#10;RG9jLnhtbFBLBQYAAAAABgAGAFkBAABc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GsLQDLAQAAnAMAAA4AAAAAAAAAAQAgAAAAHgEAAGRycy9lMm9E&#10;b2MueG1sUEsFBgAAAAAGAAYAWQEAAFs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uFb6c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F36fm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KPXn8oBAACcAwAADgAAAGRycy9lMm9Eb2MueG1srVPNjtMwEL4j8Q6W&#10;79RpD2wV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cKPXn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N7nM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f7gKsoBAACcAwAADgAAAGRycy9lMm9Eb2MueG1srVPNjtMwEL4j8Q6W&#10;79RpD6gb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2f7gKs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hT4IByQEAAJ0DAAAOAAAAAAAAAAEAIAAAAB4BAABkcnMvZTJvRG9j&#10;LnhtbFBLBQYAAAAABgAGAFkBAABZ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OtCGbf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江苏省公安厅交通警察总队</w:t>
    </w:r>
    <w:r>
      <w:t>2022年度单位决算公开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wNWYwNGFmYzNiMTMwMzI4MzFhMzI2ZWRjOTFjMmMifQ=="/>
  </w:docVars>
  <w:rsids>
    <w:rsidRoot w:val="00000000"/>
    <w:rsid w:val="00064984"/>
    <w:rsid w:val="00071789"/>
    <w:rsid w:val="000C024B"/>
    <w:rsid w:val="000F12AB"/>
    <w:rsid w:val="001C31F9"/>
    <w:rsid w:val="002E63B1"/>
    <w:rsid w:val="00407CA7"/>
    <w:rsid w:val="00413AD8"/>
    <w:rsid w:val="004C0647"/>
    <w:rsid w:val="00671ED7"/>
    <w:rsid w:val="00672164"/>
    <w:rsid w:val="006732F1"/>
    <w:rsid w:val="007C0F2D"/>
    <w:rsid w:val="008322BB"/>
    <w:rsid w:val="00867423"/>
    <w:rsid w:val="008B5B05"/>
    <w:rsid w:val="009965EA"/>
    <w:rsid w:val="00A6752E"/>
    <w:rsid w:val="00B92181"/>
    <w:rsid w:val="00BD7F33"/>
    <w:rsid w:val="00C15920"/>
    <w:rsid w:val="00C82582"/>
    <w:rsid w:val="00FA3233"/>
    <w:rsid w:val="010F1E77"/>
    <w:rsid w:val="01536131"/>
    <w:rsid w:val="01657C13"/>
    <w:rsid w:val="01714809"/>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C92423"/>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212517"/>
    <w:rsid w:val="04461F7D"/>
    <w:rsid w:val="044E689B"/>
    <w:rsid w:val="0458580D"/>
    <w:rsid w:val="045E5FB7"/>
    <w:rsid w:val="04820ADC"/>
    <w:rsid w:val="048408D1"/>
    <w:rsid w:val="049256F0"/>
    <w:rsid w:val="0495610D"/>
    <w:rsid w:val="04C730A4"/>
    <w:rsid w:val="04DA4474"/>
    <w:rsid w:val="04DF580C"/>
    <w:rsid w:val="04E946A2"/>
    <w:rsid w:val="04EA46EB"/>
    <w:rsid w:val="05185546"/>
    <w:rsid w:val="052126A9"/>
    <w:rsid w:val="05247FC3"/>
    <w:rsid w:val="05346113"/>
    <w:rsid w:val="05423E9C"/>
    <w:rsid w:val="05600A24"/>
    <w:rsid w:val="05656433"/>
    <w:rsid w:val="05685F23"/>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23C78"/>
    <w:rsid w:val="064A6451"/>
    <w:rsid w:val="064C13A1"/>
    <w:rsid w:val="06542957"/>
    <w:rsid w:val="0681129C"/>
    <w:rsid w:val="06824DC3"/>
    <w:rsid w:val="0695552F"/>
    <w:rsid w:val="069B5E85"/>
    <w:rsid w:val="06C87B62"/>
    <w:rsid w:val="06E710CA"/>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9226A"/>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AC5ED9"/>
    <w:rsid w:val="0ADA70C2"/>
    <w:rsid w:val="0AFD463B"/>
    <w:rsid w:val="0B05614C"/>
    <w:rsid w:val="0B134992"/>
    <w:rsid w:val="0B160131"/>
    <w:rsid w:val="0B2B4189"/>
    <w:rsid w:val="0B392278"/>
    <w:rsid w:val="0B675A67"/>
    <w:rsid w:val="0B6B407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66D04"/>
    <w:rsid w:val="0D7F345D"/>
    <w:rsid w:val="0D991370"/>
    <w:rsid w:val="0DAC0D2B"/>
    <w:rsid w:val="0DAD6BC9"/>
    <w:rsid w:val="0DBA3094"/>
    <w:rsid w:val="0DD06A00"/>
    <w:rsid w:val="0DDF0D4D"/>
    <w:rsid w:val="0DFC3CDF"/>
    <w:rsid w:val="0DFD772C"/>
    <w:rsid w:val="0DFF5826"/>
    <w:rsid w:val="0E0A51F9"/>
    <w:rsid w:val="0E1F1C4F"/>
    <w:rsid w:val="0E2252C7"/>
    <w:rsid w:val="0E27451D"/>
    <w:rsid w:val="0E4806AD"/>
    <w:rsid w:val="0E52151F"/>
    <w:rsid w:val="0E5E7568"/>
    <w:rsid w:val="0E601E8E"/>
    <w:rsid w:val="0E662847"/>
    <w:rsid w:val="0E854C8B"/>
    <w:rsid w:val="0E8D69FB"/>
    <w:rsid w:val="0E94230E"/>
    <w:rsid w:val="0E946F22"/>
    <w:rsid w:val="0EA37FCC"/>
    <w:rsid w:val="0EB75826"/>
    <w:rsid w:val="0EE7610B"/>
    <w:rsid w:val="0EF65551"/>
    <w:rsid w:val="0EFE25F0"/>
    <w:rsid w:val="0F111837"/>
    <w:rsid w:val="0F135152"/>
    <w:rsid w:val="0F256D3C"/>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8B7221"/>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7C72F5"/>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5F07F9B"/>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367C2F"/>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51B3B"/>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6E7E6B"/>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464944"/>
    <w:rsid w:val="1D5A4782"/>
    <w:rsid w:val="1D623037"/>
    <w:rsid w:val="1D660B43"/>
    <w:rsid w:val="1D672CB3"/>
    <w:rsid w:val="1D7C0925"/>
    <w:rsid w:val="1D817975"/>
    <w:rsid w:val="1D951979"/>
    <w:rsid w:val="1DAF110E"/>
    <w:rsid w:val="1DB61054"/>
    <w:rsid w:val="1DC835AB"/>
    <w:rsid w:val="1DC94431"/>
    <w:rsid w:val="1DD41F50"/>
    <w:rsid w:val="1DF7725D"/>
    <w:rsid w:val="1DFC15A1"/>
    <w:rsid w:val="1DFC3255"/>
    <w:rsid w:val="1DFD14A7"/>
    <w:rsid w:val="1E107489"/>
    <w:rsid w:val="1E120047"/>
    <w:rsid w:val="1E2456FC"/>
    <w:rsid w:val="1E387717"/>
    <w:rsid w:val="1E426EBA"/>
    <w:rsid w:val="1E5227F5"/>
    <w:rsid w:val="1E5B1486"/>
    <w:rsid w:val="1E6037E4"/>
    <w:rsid w:val="1E6C2CB1"/>
    <w:rsid w:val="1E86604F"/>
    <w:rsid w:val="1E8B2478"/>
    <w:rsid w:val="1EA55F87"/>
    <w:rsid w:val="1EAB38DD"/>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27683B"/>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5A2EF8"/>
    <w:rsid w:val="23655593"/>
    <w:rsid w:val="237044C9"/>
    <w:rsid w:val="23873CA0"/>
    <w:rsid w:val="23A668C2"/>
    <w:rsid w:val="23B5012E"/>
    <w:rsid w:val="23B50BF5"/>
    <w:rsid w:val="23C6058D"/>
    <w:rsid w:val="23CC2CE3"/>
    <w:rsid w:val="23E97DD8"/>
    <w:rsid w:val="23F81D1C"/>
    <w:rsid w:val="24004EF0"/>
    <w:rsid w:val="242552B4"/>
    <w:rsid w:val="242D23BA"/>
    <w:rsid w:val="24361C71"/>
    <w:rsid w:val="244514B2"/>
    <w:rsid w:val="245222E6"/>
    <w:rsid w:val="2455798C"/>
    <w:rsid w:val="246851A0"/>
    <w:rsid w:val="246E4FE1"/>
    <w:rsid w:val="247771B1"/>
    <w:rsid w:val="24797436"/>
    <w:rsid w:val="24893698"/>
    <w:rsid w:val="248A0DA1"/>
    <w:rsid w:val="248B0DC9"/>
    <w:rsid w:val="24AC7248"/>
    <w:rsid w:val="24B228BF"/>
    <w:rsid w:val="24BC54EC"/>
    <w:rsid w:val="24DE364C"/>
    <w:rsid w:val="24EF440E"/>
    <w:rsid w:val="25007ACF"/>
    <w:rsid w:val="25076767"/>
    <w:rsid w:val="25191A92"/>
    <w:rsid w:val="25290357"/>
    <w:rsid w:val="253C3B25"/>
    <w:rsid w:val="25513E86"/>
    <w:rsid w:val="255F5B0A"/>
    <w:rsid w:val="25664EB1"/>
    <w:rsid w:val="257302A1"/>
    <w:rsid w:val="2573629D"/>
    <w:rsid w:val="257B7E43"/>
    <w:rsid w:val="25A7022D"/>
    <w:rsid w:val="25B06295"/>
    <w:rsid w:val="25C32FD6"/>
    <w:rsid w:val="25C603D0"/>
    <w:rsid w:val="25E1520A"/>
    <w:rsid w:val="25E2513A"/>
    <w:rsid w:val="25F45922"/>
    <w:rsid w:val="25FD2F48"/>
    <w:rsid w:val="261E645E"/>
    <w:rsid w:val="262E21CA"/>
    <w:rsid w:val="26713F63"/>
    <w:rsid w:val="26753166"/>
    <w:rsid w:val="267B561B"/>
    <w:rsid w:val="267C5A99"/>
    <w:rsid w:val="2682148D"/>
    <w:rsid w:val="26832765"/>
    <w:rsid w:val="268D22B5"/>
    <w:rsid w:val="269240CC"/>
    <w:rsid w:val="269A47B4"/>
    <w:rsid w:val="269E759F"/>
    <w:rsid w:val="26A526DC"/>
    <w:rsid w:val="26A5448A"/>
    <w:rsid w:val="26BF5BA2"/>
    <w:rsid w:val="26CB1A16"/>
    <w:rsid w:val="26D96B5A"/>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45C73"/>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0422"/>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057BED"/>
    <w:rsid w:val="2B1B36C2"/>
    <w:rsid w:val="2B3C1AAA"/>
    <w:rsid w:val="2B77216D"/>
    <w:rsid w:val="2B7A42C1"/>
    <w:rsid w:val="2B82668D"/>
    <w:rsid w:val="2B8C19B3"/>
    <w:rsid w:val="2B9A7EB4"/>
    <w:rsid w:val="2BB8407D"/>
    <w:rsid w:val="2BBE24DE"/>
    <w:rsid w:val="2BBF0C02"/>
    <w:rsid w:val="2BC270C8"/>
    <w:rsid w:val="2BDD28EB"/>
    <w:rsid w:val="2BE5357A"/>
    <w:rsid w:val="2BEC66B7"/>
    <w:rsid w:val="2BF43094"/>
    <w:rsid w:val="2BF909AA"/>
    <w:rsid w:val="2BFC0D12"/>
    <w:rsid w:val="2C016606"/>
    <w:rsid w:val="2C0757B7"/>
    <w:rsid w:val="2C153E60"/>
    <w:rsid w:val="2C1E422F"/>
    <w:rsid w:val="2C3818FC"/>
    <w:rsid w:val="2C5950A4"/>
    <w:rsid w:val="2C660130"/>
    <w:rsid w:val="2C73502A"/>
    <w:rsid w:val="2CAD3317"/>
    <w:rsid w:val="2CB9711D"/>
    <w:rsid w:val="2CDA0C05"/>
    <w:rsid w:val="2CEA52EC"/>
    <w:rsid w:val="2CF3363A"/>
    <w:rsid w:val="2D000C25"/>
    <w:rsid w:val="2D0F4DB4"/>
    <w:rsid w:val="2D2D36A5"/>
    <w:rsid w:val="2D365B16"/>
    <w:rsid w:val="2D4B38B1"/>
    <w:rsid w:val="2D5646DC"/>
    <w:rsid w:val="2D584691"/>
    <w:rsid w:val="2D6D2070"/>
    <w:rsid w:val="2D9708A4"/>
    <w:rsid w:val="2D9D0838"/>
    <w:rsid w:val="2D9E1C33"/>
    <w:rsid w:val="2DB652A4"/>
    <w:rsid w:val="2DB943B8"/>
    <w:rsid w:val="2DBA2F11"/>
    <w:rsid w:val="2DBB2419"/>
    <w:rsid w:val="2DBF7001"/>
    <w:rsid w:val="2DC26166"/>
    <w:rsid w:val="2DCF44E2"/>
    <w:rsid w:val="2DD13DB6"/>
    <w:rsid w:val="2DD903A8"/>
    <w:rsid w:val="2DEA2F76"/>
    <w:rsid w:val="2DF041FF"/>
    <w:rsid w:val="2DF05F6F"/>
    <w:rsid w:val="2DF76E1B"/>
    <w:rsid w:val="2DFD2DFD"/>
    <w:rsid w:val="2E020414"/>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654E5"/>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656"/>
    <w:rsid w:val="323827BE"/>
    <w:rsid w:val="3240775C"/>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DE722D"/>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997BC6"/>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795D45"/>
    <w:rsid w:val="3C820BF8"/>
    <w:rsid w:val="3C9A772E"/>
    <w:rsid w:val="3CB974FB"/>
    <w:rsid w:val="3CD16A6C"/>
    <w:rsid w:val="3CFC0724"/>
    <w:rsid w:val="3CFF2A56"/>
    <w:rsid w:val="3D015D3A"/>
    <w:rsid w:val="3D083C3D"/>
    <w:rsid w:val="3D0F0BF5"/>
    <w:rsid w:val="3D254DA7"/>
    <w:rsid w:val="3D31435C"/>
    <w:rsid w:val="3D367754"/>
    <w:rsid w:val="3D4D01FD"/>
    <w:rsid w:val="3D8116F1"/>
    <w:rsid w:val="3D842DB5"/>
    <w:rsid w:val="3D927E3F"/>
    <w:rsid w:val="3DB345FF"/>
    <w:rsid w:val="3DB41B96"/>
    <w:rsid w:val="3DD76D85"/>
    <w:rsid w:val="3DD83ABF"/>
    <w:rsid w:val="3DD86A9B"/>
    <w:rsid w:val="3DDA437C"/>
    <w:rsid w:val="3DEE4511"/>
    <w:rsid w:val="3DF461A3"/>
    <w:rsid w:val="3E03072B"/>
    <w:rsid w:val="3E0B6234"/>
    <w:rsid w:val="3E0C4997"/>
    <w:rsid w:val="3E10448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31D86"/>
    <w:rsid w:val="40B61FF8"/>
    <w:rsid w:val="40C7171A"/>
    <w:rsid w:val="40D724A1"/>
    <w:rsid w:val="40DB5220"/>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386236"/>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26451"/>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D264C6"/>
    <w:rsid w:val="45ED50AE"/>
    <w:rsid w:val="45FD0891"/>
    <w:rsid w:val="46185D52"/>
    <w:rsid w:val="46192347"/>
    <w:rsid w:val="46252A99"/>
    <w:rsid w:val="462C285E"/>
    <w:rsid w:val="4639249F"/>
    <w:rsid w:val="463A0304"/>
    <w:rsid w:val="464A4975"/>
    <w:rsid w:val="465670F7"/>
    <w:rsid w:val="4665558C"/>
    <w:rsid w:val="467C2D95"/>
    <w:rsid w:val="46805F22"/>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9B3721"/>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A67471"/>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46A83"/>
    <w:rsid w:val="4F8B2726"/>
    <w:rsid w:val="4F8B4457"/>
    <w:rsid w:val="4FA41146"/>
    <w:rsid w:val="4FA90297"/>
    <w:rsid w:val="4FD80B7D"/>
    <w:rsid w:val="4FDA01F8"/>
    <w:rsid w:val="4FE561E5"/>
    <w:rsid w:val="4FF221C3"/>
    <w:rsid w:val="4FF27E90"/>
    <w:rsid w:val="4FF5172F"/>
    <w:rsid w:val="4FFA0634"/>
    <w:rsid w:val="500032A2"/>
    <w:rsid w:val="50146059"/>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0FE2865"/>
    <w:rsid w:val="51024103"/>
    <w:rsid w:val="51025571"/>
    <w:rsid w:val="51071719"/>
    <w:rsid w:val="510819A0"/>
    <w:rsid w:val="51200E5F"/>
    <w:rsid w:val="5123009E"/>
    <w:rsid w:val="512C2CA7"/>
    <w:rsid w:val="512D289E"/>
    <w:rsid w:val="514152FB"/>
    <w:rsid w:val="51434ED1"/>
    <w:rsid w:val="514D0397"/>
    <w:rsid w:val="51595CED"/>
    <w:rsid w:val="516445A0"/>
    <w:rsid w:val="518956A9"/>
    <w:rsid w:val="51E101BC"/>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77291D"/>
    <w:rsid w:val="5A852ECF"/>
    <w:rsid w:val="5A9C1659"/>
    <w:rsid w:val="5AA026B8"/>
    <w:rsid w:val="5AA116D7"/>
    <w:rsid w:val="5AAC7C87"/>
    <w:rsid w:val="5AB26B9A"/>
    <w:rsid w:val="5ADA1FF9"/>
    <w:rsid w:val="5AE821DA"/>
    <w:rsid w:val="5AED557F"/>
    <w:rsid w:val="5AF20641"/>
    <w:rsid w:val="5AFD1904"/>
    <w:rsid w:val="5B1552F3"/>
    <w:rsid w:val="5B2B4256"/>
    <w:rsid w:val="5B2C0607"/>
    <w:rsid w:val="5B3034F1"/>
    <w:rsid w:val="5B424CC5"/>
    <w:rsid w:val="5B4672E2"/>
    <w:rsid w:val="5B57504B"/>
    <w:rsid w:val="5B597015"/>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B2206"/>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42A83"/>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AE5E9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66773"/>
    <w:rsid w:val="636D1281"/>
    <w:rsid w:val="63921C8F"/>
    <w:rsid w:val="63974B7F"/>
    <w:rsid w:val="639F7B81"/>
    <w:rsid w:val="63A252D2"/>
    <w:rsid w:val="63B56648"/>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35B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0B5C35"/>
    <w:rsid w:val="6829477F"/>
    <w:rsid w:val="682F4FA9"/>
    <w:rsid w:val="68310698"/>
    <w:rsid w:val="68323C50"/>
    <w:rsid w:val="68376A2A"/>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2A1FF1"/>
    <w:rsid w:val="69423186"/>
    <w:rsid w:val="69432BE1"/>
    <w:rsid w:val="694D728A"/>
    <w:rsid w:val="69594684"/>
    <w:rsid w:val="697F233D"/>
    <w:rsid w:val="6988057F"/>
    <w:rsid w:val="699906A2"/>
    <w:rsid w:val="69A973BA"/>
    <w:rsid w:val="69AC12C2"/>
    <w:rsid w:val="69C40A40"/>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00E6E"/>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864C0"/>
    <w:rsid w:val="6DDD6E36"/>
    <w:rsid w:val="6DEC1C21"/>
    <w:rsid w:val="6E152319"/>
    <w:rsid w:val="6E3B0BAF"/>
    <w:rsid w:val="6E3E0629"/>
    <w:rsid w:val="6E45554E"/>
    <w:rsid w:val="6E501AEB"/>
    <w:rsid w:val="6E5E5CA6"/>
    <w:rsid w:val="6E7C11B5"/>
    <w:rsid w:val="6E7C32EF"/>
    <w:rsid w:val="6E7F556F"/>
    <w:rsid w:val="6E997C25"/>
    <w:rsid w:val="6E9F07E1"/>
    <w:rsid w:val="6EA14A30"/>
    <w:rsid w:val="6EA42846"/>
    <w:rsid w:val="6EB6105A"/>
    <w:rsid w:val="6EBA00D3"/>
    <w:rsid w:val="6EBD1212"/>
    <w:rsid w:val="6EC629FF"/>
    <w:rsid w:val="6EC7282F"/>
    <w:rsid w:val="6EC922AC"/>
    <w:rsid w:val="6ED21161"/>
    <w:rsid w:val="6F04413C"/>
    <w:rsid w:val="6F1C104C"/>
    <w:rsid w:val="6F255735"/>
    <w:rsid w:val="6F26499B"/>
    <w:rsid w:val="6F2F3282"/>
    <w:rsid w:val="6F35524C"/>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3F6856"/>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167266"/>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047EB1"/>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1B0D74"/>
    <w:rsid w:val="7A41363F"/>
    <w:rsid w:val="7A456F6D"/>
    <w:rsid w:val="7A5F16CA"/>
    <w:rsid w:val="7A710D8E"/>
    <w:rsid w:val="7AAA2F92"/>
    <w:rsid w:val="7AB1300F"/>
    <w:rsid w:val="7AB64E52"/>
    <w:rsid w:val="7ADA0EA4"/>
    <w:rsid w:val="7AE75FBC"/>
    <w:rsid w:val="7AFC56DC"/>
    <w:rsid w:val="7AFE508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621902"/>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9D30C5"/>
    <w:rsid w:val="7FA04963"/>
    <w:rsid w:val="7FA73F44"/>
    <w:rsid w:val="7FAD2052"/>
    <w:rsid w:val="7FB0411E"/>
    <w:rsid w:val="7FCA5021"/>
    <w:rsid w:val="7FEA3B6F"/>
    <w:rsid w:val="7FEE5147"/>
    <w:rsid w:val="7FF32CE5"/>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image" Target="media/image2.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2757</Words>
  <Characters>7652</Characters>
  <Paragraphs>501</Paragraphs>
  <TotalTime>0</TotalTime>
  <ScaleCrop>false</ScaleCrop>
  <LinksUpToDate>false</LinksUpToDate>
  <CharactersWithSpaces>7672</CharactersWithSpaces>
  <Application>WPS Office_11.8.2.11473_F1E327BC-269C-435d-A152-05C5408002CA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Administrator</cp:lastModifiedBy>
  <dcterms:modified xsi:type="dcterms:W3CDTF">2023-08-31T00:25:42Z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4D42579FBF314997BB974E44B0054564</vt:lpwstr>
  </property>
  <property fmtid="{D5CDD505-2E9C-101B-9397-08002B2CF9AE}" pid="5" name="KSOProductBuildVer">
    <vt:lpwstr>2052-11.8.2.11473</vt:lpwstr>
  </property>
  <property fmtid="{D5CDD505-2E9C-101B-9397-08002B2CF9AE}" pid="6" name="LastSaved">
    <vt:filetime>2021-04-15T00:00:00Z</vt:filetime>
  </property>
</Properties>
</file>