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宋体" w:hAnsi="宋体" w:eastAsia="宋体" w:cs="宋体"/>
                <w:b/>
                <w:bCs/>
                <w:sz w:val="52"/>
                <w:szCs w:val="52"/>
                <w:lang w:val="en-US" w:eastAsia="zh-CN"/>
              </w:rPr>
            </w:pPr>
            <w:r>
              <w:rPr>
                <w:rFonts w:ascii="宋体" w:hAnsi="宋体" w:eastAsia="宋体" w:cs="宋体"/>
                <w:b/>
                <w:sz w:val="52"/>
              </w:rPr>
              <w:t>2022年度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江苏省公安厅（机关）</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w:t>
      </w:r>
      <w:r>
        <w:rPr>
          <w:rFonts w:hint="eastAsia" w:ascii="仿宋" w:hAnsi="仿宋" w:eastAsia="仿宋" w:cs="仿宋"/>
          <w:lang w:val="en-US" w:eastAsia="zh-CN"/>
        </w:rPr>
        <w:t>2</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2022年度</w:t>
      </w:r>
      <w:r>
        <w:rPr>
          <w:rFonts w:ascii="黑体" w:hAnsi="黑体" w:eastAsia="黑体" w:cs="黑体"/>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w:t>
      </w:r>
      <w:r>
        <w:rPr>
          <w:rFonts w:hint="eastAsia" w:ascii="仿宋" w:hAnsi="仿宋" w:eastAsia="仿宋" w:cs="仿宋"/>
          <w:lang w:val="en-US" w:eastAsia="zh-CN"/>
        </w:rPr>
        <w:t>财政拨款“三公”经费、会议费和培训费支出决算表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w:t>
      </w:r>
      <w:r>
        <w:rPr>
          <w:rFonts w:hint="eastAsia" w:ascii="仿宋" w:hAnsi="仿宋" w:eastAsia="仿宋" w:cs="仿宋"/>
          <w:lang w:val="en-US" w:eastAsia="zh-CN"/>
        </w:rPr>
        <w:t>财政拨款</w:t>
      </w:r>
      <w:r>
        <w:rPr>
          <w:rFonts w:hint="eastAsia" w:ascii="仿宋" w:hAnsi="仿宋" w:eastAsia="仿宋" w:cs="仿宋"/>
        </w:rPr>
        <w:t>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2022年度</w:t>
      </w:r>
      <w:r>
        <w:rPr>
          <w:rFonts w:ascii="黑体" w:hAnsi="黑体" w:eastAsia="黑体" w:cs="黑体"/>
        </w:rPr>
        <w:t>单位决算情况说明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（1）拟订全省公安工作政策、规划，起草有关地方性法规、规章草案，部署、指导、检查、监督全省公安工作。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组织指导全省公安机关侦查工作，协调侦办重大刑事犯罪案件。组织指导全省公安机关侦办食品药品、知识产权、生态环境、森林、生物安全、金融等领域犯罪案件。负责侦办上级交办和在全省有重大影响的严重犯罪案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负责全省治安管理工作。协调处理重大治安事故和事件，组织、指导、监督全省公安机关依法查处破坏社会治安秩序行为，依法开展治安行政管理和危险化学品管理工作，组织、指导、监督全省公安机关治安保卫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（4）实施并指导、监督全省公安机关对公共信息网络的安全保护工作，负责信息安全等级保护工作的监督、检查、指导。</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（5）组织、指导、协调对恐怖活动的防范、侦察和打击工作。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（6）组织、指导、协调禁毒工作。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（7）实施、指导公民因私出国（境）管理，实施来华工作和留学外国人入境、居留、签证管理。受理国籍、外国人永久居留申请。</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（8）指导、监督全省公安机关依法承担的执行刑罚工作，指导、监督全省公安机关对看守所、拘留所、强制隔离戒毒所、收容教育所的管理工作，指导、监督全省收容教养审批工作。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（9）做好有关党和国家领导人以及重要外宾来我省的安全警卫工作。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（10）组织实施全省公安科学技术工作，规划全省公安机关的指挥系统、大数据技术、刑事技术建设。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（11）拟订全省公安机关经费、装备、被装、基本建设等标准、制度。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（12）负责并统一领导全省警用航空器运行、安全和管理工作。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13）组织全省公安机关开展与国际刑警组织、外国警方及港澳台警方的交往与业务合作，履行与公安工作有关的国际条约和合作协议。牵头负责境外非政府组织在省内活动的管理工作。承担全省公安机关跨国（境）案件侦办协作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14）拟订全省公安队伍建设的政策、规划，按规定权限管理干部。拟订全省公安队伍监督管理工作制度，组织、指导全省公安机关督察工作，按规定权限实施对干部的监督，查处或督办公安队伍重大违纪案件，指导全省公安队伍思想政治建设和工作作风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（15）承担省反恐怖工作领导小组、省禁毒委员会的具体工作。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（16）完成省委、省政府和公安部交办的其他任务。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本单位内设机构包括办公室、政治部、机关党委、警务保障部、情报指挥中心、治安警察总队、刑事警察总队、禁毒总队、法制总队等。本单位下属单位包括：居民身份证制作中心、毒品检测化验中心等。</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2022</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2022年，全省公安机关坚持以习近平新时代中国特色社会主义思想为指导，在省委、省政府、公安部和省委政法委坚强领导下，深入学习贯彻党的二十大精神和习近平总书记对新时代公安工作、江苏工作的重要指示精神，深刻领悟“两个确立”的决定性意义，切实增强“四个意识”、坚定“四个自信”、做到“两个维护”，以党的二十大安保维稳为主线，忠诚履职、守正创新，统筹推进防风险、保安全、控疫情、促发展、惠民生各项工作，有力维护了全省社会大局持续平安稳定，全面开启了江苏公安事业发展新篇章。部省领导多次批示肯定、表扬，发来贺电或通令嘉奖，多项创新做法被公安部通报、向全国推广。</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重大安保拼出历史佳绩。圆满完成北京冬奥会冬残奥会、香港回归25周年、第二十届省运会、上海进博会、国家公祭仪式等重大安保任务，确保社会稳定，高效处置了一批突发敏感事端，特别是奋力夺取党的二十大安保维稳大战大考全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保民平安打出赫赫声威。全年破案率稳步提高，现行命案全破，一批命案积案沉冤昭雪，部分有重大社会影响的案件被公安部评为精品案例，电信网络诈骗案件发案数、道路交通事故起数、亡人数同比再压降，群众安全感</w:t>
      </w:r>
      <w:r>
        <w:rPr>
          <w:rFonts w:hint="eastAsia" w:ascii="仿宋" w:hAnsi="仿宋" w:eastAsia="仿宋" w:cs="仿宋"/>
          <w:lang w:eastAsia="zh-CN"/>
        </w:rPr>
        <w:t>达到</w:t>
      </w:r>
      <w:r>
        <w:rPr>
          <w:rFonts w:ascii="仿宋" w:hAnsi="仿宋" w:eastAsia="仿宋" w:cs="仿宋"/>
        </w:rPr>
        <w:t>历史新高。</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——实战改革迈出跨越步伐。制定形成“省级主责、市县主战、派出所主防”职能体系“江苏方案”，情指行一体化和省级层面联合研判机制形成常态，公安应对处置大事急事难事的能力水平</w:t>
      </w:r>
      <w:r>
        <w:rPr>
          <w:rFonts w:hint="eastAsia" w:ascii="仿宋" w:hAnsi="仿宋" w:eastAsia="仿宋" w:cs="仿宋"/>
          <w:lang w:eastAsia="zh-CN"/>
        </w:rPr>
        <w:t>明显</w:t>
      </w:r>
      <w:r>
        <w:rPr>
          <w:rFonts w:ascii="仿宋" w:hAnsi="仿宋" w:eastAsia="仿宋" w:cs="仿宋"/>
        </w:rPr>
        <w:t>提升，“全警一盘棋”的整体作战格局初步建立，王小洪同志给予充分肯定，并向全国推广“江苏经验”。</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服务发展创出特色品牌。坚决落实“疫情要防住、经济要稳住、发展要安全”重大要求，以主责主力高质量完成流调溯源、社区防控、区域协查、入境转运等艰巨防疫任务，及时出台助企纾困、优化营商环境“双十条”措施，为企业解决困难诉求万余件、挽回经济损失数十亿元，网上网下多渠道服务群众超亿人次，成功承办全球公共安全合作论坛（连云港）首届大会，做到了大局之中有作为、关键时刻显担当。</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公安队伍现出蓬勃生机。坚持以新时代新思想培根铸魂，全面从严管党治警导向更加鲜明，全覆盖大监督格局日臻完善，厅机关大警种部门设立党委、政工干部专职化、干部平时考核考察等创新制度梯次推出，政治轮训、实战练兵覆盖全警，年内全省有7名同志被授予二级英模荣誉称号，39个集体、66名个人受到省部级以上表彰，一批政治坚定、忠诚可靠、年富力强的优秀干部得到提拔任用，江苏公安的精气神、战斗力全面提振。</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bookmarkStart w:id="0" w:name="_GoBack"/>
      <w:bookmarkEnd w:id="0"/>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江苏省公安厅（机关）</w:t>
      </w: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r>
        <w:rPr>
          <w:rFonts w:hint="eastAsia" w:ascii="宋体" w:hAnsi="宋体" w:eastAsia="宋体" w:cs="宋体"/>
          <w:b/>
          <w:bCs/>
          <w:sz w:val="36"/>
          <w:szCs w:val="36"/>
          <w:lang w:eastAsia="zh-CN"/>
        </w:rPr>
        <w:t>2022</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ascii="宋体" w:hAnsi="宋体" w:eastAsia="宋体" w:cs="宋体"/>
          <w:b/>
          <w:sz w:val="36"/>
        </w:rPr>
      </w:pP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sz w:val="36"/>
        </w:rPr>
      </w:pPr>
    </w:p>
    <w:tbl>
      <w:tblPr>
        <w:tblStyle w:val="12"/>
        <w:tblW w:w="10447" w:type="dxa"/>
        <w:jc w:val="center"/>
        <w:tblLayout w:type="fixed"/>
        <w:tblCellMar>
          <w:top w:w="0" w:type="dxa"/>
          <w:left w:w="108" w:type="dxa"/>
          <w:bottom w:w="0" w:type="dxa"/>
          <w:right w:w="108" w:type="dxa"/>
        </w:tblCellMar>
      </w:tblPr>
      <w:tblGrid>
        <w:gridCol w:w="3468"/>
        <w:gridCol w:w="1777"/>
        <w:gridCol w:w="2035"/>
        <w:gridCol w:w="1341"/>
        <w:gridCol w:w="1826"/>
      </w:tblGrid>
      <w:tr>
        <w:tblPrEx>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CellMar>
            <w:top w:w="0" w:type="dxa"/>
            <w:left w:w="108" w:type="dxa"/>
            <w:bottom w:w="0" w:type="dxa"/>
            <w:right w:w="108" w:type="dxa"/>
          </w:tblCellMar>
        </w:tblPrEx>
        <w:trPr>
          <w:trHeight w:val="348" w:hRule="atLeast"/>
          <w:jc w:val="center"/>
        </w:trPr>
        <w:tc>
          <w:tcPr>
            <w:tcW w:w="3468" w:type="dxa"/>
          </w:tcPr>
          <w:p>
            <w:pPr>
              <w:widowControl w:val="0"/>
              <w:ind w:left="0" w:right="0" w:firstLine="0"/>
              <w:jc w:val="left"/>
              <w:textAlignment w:val="auto"/>
              <w:rPr>
                <w:rFonts w:hint="eastAsia" w:ascii="仿宋" w:hAnsi="仿宋" w:eastAsia="仿宋" w:cs="仿宋"/>
                <w:color w:val="000000"/>
                <w:sz w:val="20"/>
              </w:rPr>
            </w:pPr>
          </w:p>
        </w:tc>
        <w:tc>
          <w:tcPr>
            <w:tcW w:w="1777"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江苏省公安厅（机关）</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CellMar>
            <w:top w:w="0" w:type="dxa"/>
            <w:left w:w="108" w:type="dxa"/>
            <w:bottom w:w="0" w:type="dxa"/>
            <w:right w:w="108" w:type="dxa"/>
          </w:tblCellMar>
        </w:tblPrEx>
        <w:trPr>
          <w:trHeight w:val="39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132,006.10</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21.82</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108,343.14</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3,660.26</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1,238.00</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14,884.79</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1,092.64</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132,006.10</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129,240.65</w:t>
            </w: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3,892.00</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6,657.46</w:t>
            </w:r>
          </w:p>
        </w:tc>
      </w:tr>
      <w:tr>
        <w:tblPrEx>
          <w:tblCellMar>
            <w:top w:w="0" w:type="dxa"/>
            <w:left w:w="108" w:type="dxa"/>
            <w:bottom w:w="0" w:type="dxa"/>
            <w:right w:w="108" w:type="dxa"/>
          </w:tblCellMar>
        </w:tblPrEx>
        <w:trPr>
          <w:trHeight w:val="383" w:hRule="atLeast"/>
          <w:jc w:val="center"/>
        </w:trPr>
        <w:tc>
          <w:tcPr>
            <w:tcW w:w="346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77"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376"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26"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CellMar>
            <w:top w:w="0" w:type="dxa"/>
            <w:left w:w="108" w:type="dxa"/>
            <w:bottom w:w="0" w:type="dxa"/>
            <w:right w:w="108" w:type="dxa"/>
          </w:tblCellMar>
        </w:tblPrEx>
        <w:trPr>
          <w:cantSplit/>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135,898.10</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135,898.10</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7"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660" w:type="dxa"/>
        <w:jc w:val="center"/>
        <w:tblLayout w:type="fixed"/>
        <w:tblCellMar>
          <w:top w:w="0" w:type="dxa"/>
          <w:left w:w="108" w:type="dxa"/>
          <w:bottom w:w="0" w:type="dxa"/>
          <w:right w:w="108" w:type="dxa"/>
        </w:tblCellMar>
      </w:tblPr>
      <w:tblGrid>
        <w:gridCol w:w="1201"/>
        <w:gridCol w:w="3156"/>
        <w:gridCol w:w="1716"/>
        <w:gridCol w:w="1728"/>
        <w:gridCol w:w="1686"/>
        <w:gridCol w:w="1503"/>
        <w:gridCol w:w="1704"/>
        <w:gridCol w:w="1263"/>
        <w:gridCol w:w="1375"/>
        <w:gridCol w:w="1328"/>
      </w:tblGrid>
      <w:tr>
        <w:tblPrEx>
          <w:tblCellMar>
            <w:top w:w="0" w:type="dxa"/>
            <w:left w:w="108" w:type="dxa"/>
            <w:bottom w:w="0" w:type="dxa"/>
            <w:right w:w="108" w:type="dxa"/>
          </w:tblCellMar>
        </w:tblPrEx>
        <w:trPr>
          <w:trHeight w:val="403" w:hRule="atLeast"/>
          <w:jc w:val="center"/>
        </w:trPr>
        <w:tc>
          <w:tcPr>
            <w:tcW w:w="16660"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CellMar>
            <w:top w:w="0" w:type="dxa"/>
            <w:left w:w="108" w:type="dxa"/>
            <w:bottom w:w="0" w:type="dxa"/>
            <w:right w:w="108" w:type="dxa"/>
          </w:tblCellMar>
        </w:tblPrEx>
        <w:trPr>
          <w:trHeight w:val="247" w:hRule="atLeast"/>
          <w:jc w:val="center"/>
        </w:trPr>
        <w:tc>
          <w:tcPr>
            <w:tcW w:w="4357" w:type="dxa"/>
            <w:gridSpan w:val="2"/>
            <w:vAlign w:val="center"/>
          </w:tcPr>
          <w:p>
            <w:pPr>
              <w:pStyle w:val="22"/>
              <w:widowControl w:val="0"/>
              <w:jc w:val="center"/>
              <w:rPr>
                <w:rFonts w:hint="eastAsia" w:ascii="仿宋" w:hAnsi="仿宋" w:eastAsia="仿宋" w:cs="仿宋"/>
              </w:rPr>
            </w:pPr>
          </w:p>
        </w:tc>
        <w:tc>
          <w:tcPr>
            <w:tcW w:w="1716" w:type="dxa"/>
            <w:vAlign w:val="center"/>
          </w:tcPr>
          <w:p>
            <w:pPr>
              <w:pStyle w:val="22"/>
              <w:widowControl w:val="0"/>
              <w:jc w:val="center"/>
              <w:rPr>
                <w:rFonts w:hint="eastAsia" w:ascii="仿宋" w:hAnsi="仿宋" w:eastAsia="仿宋" w:cs="仿宋"/>
              </w:rPr>
            </w:pPr>
          </w:p>
        </w:tc>
        <w:tc>
          <w:tcPr>
            <w:tcW w:w="1728" w:type="dxa"/>
            <w:vAlign w:val="center"/>
          </w:tcPr>
          <w:p>
            <w:pPr>
              <w:pStyle w:val="22"/>
              <w:widowControl w:val="0"/>
              <w:jc w:val="center"/>
              <w:rPr>
                <w:rFonts w:hint="eastAsia" w:ascii="仿宋" w:hAnsi="仿宋" w:eastAsia="仿宋" w:cs="仿宋"/>
              </w:rPr>
            </w:pPr>
          </w:p>
        </w:tc>
        <w:tc>
          <w:tcPr>
            <w:tcW w:w="1686" w:type="dxa"/>
            <w:vAlign w:val="center"/>
          </w:tcPr>
          <w:p>
            <w:pPr>
              <w:pStyle w:val="22"/>
              <w:widowControl w:val="0"/>
              <w:jc w:val="center"/>
              <w:rPr>
                <w:rFonts w:hint="eastAsia" w:ascii="仿宋" w:hAnsi="仿宋" w:eastAsia="仿宋" w:cs="仿宋"/>
              </w:rPr>
            </w:pPr>
          </w:p>
        </w:tc>
        <w:tc>
          <w:tcPr>
            <w:tcW w:w="3207" w:type="dxa"/>
            <w:gridSpan w:val="2"/>
            <w:vAlign w:val="center"/>
          </w:tcPr>
          <w:p>
            <w:pPr>
              <w:pStyle w:val="22"/>
              <w:widowControl w:val="0"/>
              <w:jc w:val="center"/>
              <w:rPr>
                <w:rFonts w:hint="eastAsia" w:ascii="仿宋" w:hAnsi="仿宋" w:eastAsia="仿宋" w:cs="仿宋"/>
              </w:rPr>
            </w:pPr>
          </w:p>
        </w:tc>
        <w:tc>
          <w:tcPr>
            <w:tcW w:w="1263" w:type="dxa"/>
            <w:vAlign w:val="center"/>
          </w:tcPr>
          <w:p>
            <w:pPr>
              <w:pStyle w:val="22"/>
              <w:widowControl w:val="0"/>
              <w:jc w:val="center"/>
              <w:rPr>
                <w:rFonts w:hint="eastAsia" w:ascii="仿宋" w:hAnsi="仿宋" w:eastAsia="仿宋" w:cs="仿宋"/>
              </w:rPr>
            </w:pP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247" w:hRule="atLeast"/>
          <w:jc w:val="center"/>
        </w:trPr>
        <w:tc>
          <w:tcPr>
            <w:tcW w:w="13957"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255" w:hRule="atLeast"/>
          <w:jc w:val="center"/>
        </w:trPr>
        <w:tc>
          <w:tcPr>
            <w:tcW w:w="435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71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728"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68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503"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70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263"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37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32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502" w:hRule="atLeast"/>
          <w:jc w:val="center"/>
        </w:trPr>
        <w:tc>
          <w:tcPr>
            <w:tcW w:w="120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15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71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728"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8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3"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704"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263"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7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2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267" w:hRule="exact"/>
          <w:jc w:val="center"/>
        </w:trPr>
        <w:tc>
          <w:tcPr>
            <w:tcW w:w="435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71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132,006.10</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132,006.10</w:t>
            </w:r>
          </w:p>
        </w:tc>
        <w:tc>
          <w:tcPr>
            <w:tcW w:w="168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50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704"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26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75"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28"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一般公共服务支出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其他一般公共服务支出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2019999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其他一般公共服务支出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259.82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111,063.23</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111,063.23</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公安</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97,511.14</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97,511.14</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44,338.78</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44,338.78</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2040219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信息化建设</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7,709.74</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7,709.74</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2040220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执法办案</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3,210.00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3,210.00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其他公安支出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42,252.62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42,252.62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2049999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13,552.09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3,660.26</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3,660.26</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3,660.26</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3,660.26</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2,165.50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2,165.50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1,082.75</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1,082.75</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412.01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412.01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卫生健康支出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21004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公共卫生</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2100410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突发公共卫生事件应急处理</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1,238.00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14,884.79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14,884.79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14,884.79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14,884.79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3,904.53</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3,904.53</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10,980.26</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10,980.26</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2299999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900.00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8" w:type="default"/>
          <w:pgSz w:w="16838" w:h="11906" w:orient="landscape"/>
          <w:pgMar w:top="720" w:right="113" w:bottom="720" w:left="11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89" w:type="dxa"/>
        <w:tblInd w:w="63" w:type="dxa"/>
        <w:tblLayout w:type="fixed"/>
        <w:tblCellMar>
          <w:top w:w="55" w:type="dxa"/>
          <w:left w:w="55" w:type="dxa"/>
          <w:bottom w:w="55" w:type="dxa"/>
          <w:right w:w="55" w:type="dxa"/>
        </w:tblCellMar>
      </w:tblPr>
      <w:tblGrid>
        <w:gridCol w:w="1188"/>
        <w:gridCol w:w="3927"/>
        <w:gridCol w:w="2164"/>
        <w:gridCol w:w="1897"/>
        <w:gridCol w:w="1739"/>
        <w:gridCol w:w="1715"/>
        <w:gridCol w:w="1633"/>
        <w:gridCol w:w="1426"/>
      </w:tblGrid>
      <w:tr>
        <w:tblPrEx>
          <w:tblCellMar>
            <w:top w:w="55" w:type="dxa"/>
            <w:left w:w="55" w:type="dxa"/>
            <w:bottom w:w="55" w:type="dxa"/>
            <w:right w:w="55" w:type="dxa"/>
          </w:tblCellMar>
        </w:tblPrEx>
        <w:trPr>
          <w:trHeight w:val="532" w:hRule="atLeast"/>
        </w:trPr>
        <w:tc>
          <w:tcPr>
            <w:tcW w:w="15689"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CellMar>
            <w:top w:w="55" w:type="dxa"/>
            <w:left w:w="55" w:type="dxa"/>
            <w:bottom w:w="55" w:type="dxa"/>
            <w:right w:w="55" w:type="dxa"/>
          </w:tblCellMar>
        </w:tblPrEx>
        <w:trPr>
          <w:trHeight w:val="227" w:hRule="atLeast"/>
        </w:trPr>
        <w:tc>
          <w:tcPr>
            <w:tcW w:w="5115" w:type="dxa"/>
            <w:gridSpan w:val="2"/>
            <w:vAlign w:val="center"/>
          </w:tcPr>
          <w:p>
            <w:pPr>
              <w:pStyle w:val="22"/>
              <w:widowControl w:val="0"/>
              <w:jc w:val="center"/>
              <w:rPr>
                <w:rFonts w:hint="eastAsia" w:ascii="仿宋" w:hAnsi="仿宋" w:eastAsia="仿宋" w:cs="仿宋"/>
              </w:rPr>
            </w:pPr>
          </w:p>
        </w:tc>
        <w:tc>
          <w:tcPr>
            <w:tcW w:w="2164" w:type="dxa"/>
            <w:vAlign w:val="center"/>
          </w:tcPr>
          <w:p>
            <w:pPr>
              <w:pStyle w:val="22"/>
              <w:widowControl w:val="0"/>
              <w:spacing w:before="0" w:after="0"/>
              <w:ind w:firstLine="0"/>
              <w:jc w:val="center"/>
              <w:rPr>
                <w:rFonts w:hint="eastAsia" w:ascii="仿宋" w:hAnsi="仿宋" w:eastAsia="仿宋" w:cs="仿宋"/>
                <w:sz w:val="20"/>
              </w:rPr>
            </w:pPr>
          </w:p>
        </w:tc>
        <w:tc>
          <w:tcPr>
            <w:tcW w:w="1897" w:type="dxa"/>
            <w:vAlign w:val="center"/>
          </w:tcPr>
          <w:p>
            <w:pPr>
              <w:pStyle w:val="22"/>
              <w:widowControl w:val="0"/>
              <w:spacing w:before="0" w:after="0"/>
              <w:ind w:firstLine="0"/>
              <w:jc w:val="center"/>
              <w:rPr>
                <w:rFonts w:hint="eastAsia" w:ascii="仿宋" w:hAnsi="仿宋" w:eastAsia="仿宋" w:cs="仿宋"/>
                <w:sz w:val="20"/>
              </w:rPr>
            </w:pPr>
          </w:p>
        </w:tc>
        <w:tc>
          <w:tcPr>
            <w:tcW w:w="1739" w:type="dxa"/>
            <w:vAlign w:val="center"/>
          </w:tcPr>
          <w:p>
            <w:pPr>
              <w:pStyle w:val="22"/>
              <w:widowControl w:val="0"/>
              <w:spacing w:before="0" w:after="0"/>
              <w:ind w:firstLine="0"/>
              <w:jc w:val="center"/>
              <w:rPr>
                <w:rFonts w:hint="eastAsia" w:ascii="仿宋" w:hAnsi="仿宋" w:eastAsia="仿宋" w:cs="仿宋"/>
                <w:sz w:val="20"/>
              </w:rPr>
            </w:pPr>
          </w:p>
        </w:tc>
        <w:tc>
          <w:tcPr>
            <w:tcW w:w="1715" w:type="dxa"/>
            <w:vAlign w:val="center"/>
          </w:tcPr>
          <w:p>
            <w:pPr>
              <w:pStyle w:val="22"/>
              <w:widowControl w:val="0"/>
              <w:spacing w:before="0" w:after="0"/>
              <w:ind w:firstLine="0"/>
              <w:jc w:val="center"/>
              <w:rPr>
                <w:rFonts w:hint="eastAsia" w:ascii="仿宋" w:hAnsi="仿宋" w:eastAsia="仿宋" w:cs="仿宋"/>
                <w:sz w:val="20"/>
              </w:rPr>
            </w:pP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90" w:hRule="atLeast"/>
        </w:trPr>
        <w:tc>
          <w:tcPr>
            <w:tcW w:w="126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90" w:hRule="atLeast"/>
        </w:trPr>
        <w:tc>
          <w:tcPr>
            <w:tcW w:w="511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1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897"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3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715"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26"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176" w:hRule="atLeast"/>
        </w:trPr>
        <w:tc>
          <w:tcPr>
            <w:tcW w:w="1188"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927"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1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97"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3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5"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26"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382" w:hRule="exact"/>
        </w:trPr>
        <w:tc>
          <w:tcPr>
            <w:tcW w:w="51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1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129,240.65</w:t>
            </w:r>
          </w:p>
        </w:tc>
        <w:tc>
          <w:tcPr>
            <w:tcW w:w="189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62,704.65</w:t>
            </w:r>
          </w:p>
        </w:tc>
        <w:tc>
          <w:tcPr>
            <w:tcW w:w="173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66,536.00</w:t>
            </w:r>
          </w:p>
        </w:tc>
        <w:tc>
          <w:tcPr>
            <w:tcW w:w="171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2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一般公共服务支出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其他一般公共服务支出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其他一般公共服务支出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21.82</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108,343.14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44,159.60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64,183.54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公安</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95,444.31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44,159.60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51,284.71</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44,159.60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44,159.60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2040219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信息化建设</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7,709.74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7,709.74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2040220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执法办案</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2,742.16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2,742.16</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其他公安支出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40,832.81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40,832.81</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12,898.83</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3,660.26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3,660.26</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3,660.26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3,660.26</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2,165.50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2,165.50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1,082.75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1,082.75</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412.01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412.01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卫生健康支出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21004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公共卫生</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2100410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突发公共卫生事件应急处理</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1,238.00</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14,884.79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14,884.79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14,884.79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14,884.79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3,904.53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3,904.53</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10,980.26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10,980.26</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1,092.64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1,092.64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1,092.64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1,092.64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1,092.64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1,092.64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9" w:type="default"/>
          <w:pgSz w:w="16838" w:h="11906" w:orient="landscape"/>
          <w:pgMar w:top="720" w:right="567" w:bottom="7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CellMar>
            <w:top w:w="55" w:type="dxa"/>
            <w:left w:w="55" w:type="dxa"/>
            <w:bottom w:w="55" w:type="dxa"/>
            <w:right w:w="55" w:type="dxa"/>
          </w:tblCellMar>
        </w:tblPrEx>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江苏省公安厅（机关）</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132,006.10</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108,158.04</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108,158.04</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3,660.26</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3,660.26</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14,884.79</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14,884.79</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132,006.10</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129,055.56</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129,055.56</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3,572.76</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6,523.31</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6,523.31</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3,572.76</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135,578.86</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135,578.86</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135,578.86</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129,055.56</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62,704.65</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66,350.91</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其他一般公共服务支出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其他一般公共服务支出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21.82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108,158.05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44,159.60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63,998.45</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公安</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95,259.22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44,159.60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51,099.62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44,159.60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44,159.60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2040219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信息化建设</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7,709.74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7,709.74</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2040220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执法办案</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2,742.16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2,742.16</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40,647.72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40,647.72</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12,898.83</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3,660.26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3,660.26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3,660.26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3,660.26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2,165.50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2,165.50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1,082.75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1,082.75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412.01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412.01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卫生健康支出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公共卫生</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2100410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突发公共卫生事件应急处理</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14,884.79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14,884.79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14,884.79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14,884.79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3,904.53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3,904.53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10,980.26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10,980.26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1,092.64</w:t>
            </w: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江苏省公安厅（机关）</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62,704.65</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54,308.28</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8,396.37</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47,750.49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47,750.49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5,771.77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5,771.77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23,803.52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23,803.52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9,984.00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9,984.00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278.90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1,791.09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1,791.09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1,082.75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1,082.75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188.69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188.69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3,906.37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3,906.37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943.40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943.40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8,362.55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8,362.55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574.69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574.69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311.98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57.51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1,408.58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1,408.58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55.46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1,251.00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608.00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50.03</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1.83</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24.63</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508.96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789.94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789.94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336.86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1,030.76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1,030.76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1,343.28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1,343.28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6,557.79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6,557.79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115.60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33.82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33.82</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2"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CellMar>
            <w:top w:w="55" w:type="dxa"/>
            <w:left w:w="55" w:type="dxa"/>
            <w:bottom w:w="55" w:type="dxa"/>
            <w:right w:w="55" w:type="dxa"/>
          </w:tblCellMar>
        </w:tblPrEx>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129,055.56</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62,704.65</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66,350.91</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一般公共服务支出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其他一般公共服务支出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其他一般公共服务支出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108,158.05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44,159.60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63,998.45</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公安</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95,259.22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44,159.60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51,099.62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44,159.60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44,159.60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2040219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信息化建设</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7,709.74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7,709.74</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2040220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执法办案</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2,742.16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2,742.16</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40,647.72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40,647.72</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12,898.83</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3,660.26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3,660.26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3,660.26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3,660.26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2,165.50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2,165.50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1,082.75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1,082.75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412.01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412.01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卫生健康支出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21004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公共卫生</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2100410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突发公共卫生事件应急处理</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14,884.79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14,884.79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14,884.79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14,884.79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3,904.53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3,904.53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10,980.26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10,980.26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1,092.64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1,092.64</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1,092.64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1,092.64</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1,092.64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1,092.64</w:t>
            </w: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62,704.65</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54,308.28</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8,396.37</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47,750.49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47,750.49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5,771.77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5,771.77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23,803.52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23,803.52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9,984.00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9,984.00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278.90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278.90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1,791.09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1,791.09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1,082.75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1,082.75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188.69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188.69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3,906.37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3,906.37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943.40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943.40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8,362.55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8,362.55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574.69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574.69</w:t>
            </w: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311.98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311.98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57.51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57.51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1,408.58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1,408.58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55.46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55.46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1,251.00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608.00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50.03</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1.83</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24.63</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508.96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508.96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789.94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789.94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336.86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336.86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1,030.76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1,030.76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1,343.28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1,343.28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6,557.79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6,557.79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700.32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5,657.67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115.60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115.60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33.82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33.82</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CellMar>
            <w:top w:w="55" w:type="dxa"/>
            <w:left w:w="55" w:type="dxa"/>
            <w:bottom w:w="55" w:type="dxa"/>
            <w:right w:w="55" w:type="dxa"/>
          </w:tblCellMar>
        </w:tblPrEx>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en-US" w:eastAsia="zh-CN" w:bidi="zh-CN"/>
              </w:rPr>
              <w:t>财政拨款“三公”经费、会议费和培训费支出决算表</w:t>
            </w:r>
          </w:p>
        </w:tc>
      </w:tr>
      <w:tr>
        <w:tblPrEx>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887.94</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21.82</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761.46</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238.00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523.46</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104.66</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126.00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330.00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371.65</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21.82</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336.86</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336.86</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12.97</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50.03</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279.57</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176</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82</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1,442</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25</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4,532</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41</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2,696</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财政拨款“三公”经费、会议费和培训费支出情况。其中，预算数为全年预算数，反映按规定程序调整后的预算数；决算数是包括当年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5"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tblPrEx>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cs="宋体"/>
                <w:b/>
                <w:bCs/>
                <w:color w:val="000000"/>
                <w:kern w:val="0"/>
                <w:sz w:val="36"/>
                <w:szCs w:val="36"/>
                <w:lang w:val="en-US" w:eastAsia="ar-SA" w:bidi="zh-CN"/>
              </w:rPr>
              <w:t>财政拨款</w:t>
            </w:r>
            <w:r>
              <w:rPr>
                <w:rFonts w:hint="eastAsia" w:ascii="宋体" w:hAnsi="宋体" w:eastAsia="宋体" w:cs="宋体"/>
                <w:b/>
                <w:bCs/>
                <w:color w:val="000000"/>
                <w:kern w:val="0"/>
                <w:sz w:val="36"/>
                <w:szCs w:val="36"/>
                <w:lang w:val="zh-CN" w:eastAsia="ar-SA" w:bidi="zh-CN"/>
              </w:rPr>
              <w:t>机关运行经费支出决算表</w:t>
            </w:r>
          </w:p>
        </w:tc>
      </w:tr>
      <w:tr>
        <w:tblPrEx>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8,396.37</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8,362.55</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574.69</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311.98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0.24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57.51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1,408.58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55.46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1,251.00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608.00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50.03</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8.79</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1.83</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24.63</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508.96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789.94</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336.86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1,030.76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1,343.28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33.82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2.72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20.71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10.38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7"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tblPrEx>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江苏省公安厅（机关）</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58,822.40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28,342.43</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1,937.68</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28,542.30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2022</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2022年度收入、支出决算总计135,898.1万元。与上年相比，收、支总计各减少7,503.7万元，减少5.23%。其中：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（一）收入决算总计135,898.1万元。包括：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1.本年收入决算合计132,006.1万元。与上年相比，减少2,822.22万元，减少2.09%，变动原因：根据国务院关于严格控制和压减一般性支出的要求，对单位运转类经费压减。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3.年初结转和结余3,892万元。与上年相比，减少4,681.48万元，减少54.6%，变动原因：项目正常进度支付。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（二）支出决算总计135,898.1万元。包括：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1.本年支出决算合计129,240.65万元。与上年相比，减少2,045.35万元，减少1.56%，变动原因：根据国务院关于严格控制和压减一般性支出的要求，对单位运转类经费压减。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6,657.46万元。结转和结余事项：单位已按计划采购并签订合同，需在以后年度按合同约定支付的项目。与上年相比，减少5,458.35万元，减少45.05%，变动原因：上年度个别项目于12月底追加，未能形成支出，导致上年度结转较多。</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收入决算合计132,006.1万元，其中：财政拨款收入132,006.1万元，占100%；上级补助收入0万元，占0%；财政专户管理教育收费0万元，占0%；事业收入（不含专户管理教育收费）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19"/>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2022年度本年支出决算合计129,240.65万元，其中：基本支出62,704.65万元，占48.52%；项目支出66,536万元，占51.48%；上缴上级支出0万元，占0%；经营支出0万元，占0%；对附属单位补助支出0万元，占0%。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2022年度财政拨款收入、支出决算总计135,578.86万元。与上年相比，收、支总计各减少6,577.16万元，减少4.63%，变动原因：根据国务院关于严格控制和压减一般性支出的要求，对单位运转类经费压减。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2022年度财政拨款支出决算129,055.56万元，占本年支出合计的99.86%。与2022年度财政拨款支出年初预算106,645.73万元相比，完成年初预算的121.01%。其中：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（一）一般公共服务支出（类）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一般公共服务支出（款）其他一般公共服务支出（项）。年初预算0万元，支出决算21.82万元，（年初预算数为0万元，无法计算完成比率）决算数与年初预算数的差异原因：21.82万元为因公出国（境）费用，由财政通过专项预算安排。</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（二）公共安全支出（类）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安（款）行政运行（项）。年初预算56,622.02万元，支出决算44,159.6万元，完成年初预算的77.99%。决算数与年初预算数的差异原因：根据国家和省厅厉行节约反对浪费有关要求，严格控制三公两费支出；对个别项目决算口径进行调整，主要是干警服装费预算编制在行政运行，决算编制时应财政要求调整至其他公安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安（款）信息化建设（项）。年初预算8,566.74万元，支出决算7,709.74万元，完成年初预算的90%。决算数与年初预算数的差异原因：该项目主要用于软硬件等运维以及信息租赁。根据国务院关于严格控制和压减一般性支出的要求，年中追减指标10%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3.公安（款）执法办案（项）。年初预算2,600万元，支出决算2,742.16万元，完成年初预算的105.47%。决算数与年初预算数的差异原因：因二十大安保维稳，专项追加了办案业务费；部分专项资金结转下年使用。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公安（款）其他公安支出（项）。年初预算20,311.92万元，支出决算40,647.72万元，完成年初预算的200.12%。决算数与年初预算数的差异原因：对个别项目决算口径进行调整，主要是干警服装费预算编制在行政运行，决算编制时应财政要求调整至其他公安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5.其他公共安全支出（款）其他公共安全支出（项）。年初预算0万元，支出决算12,898.83万元，（年初预算数为0万元，无法计算完成比率）决算数与年初预算数的差异原因：追加基本建设类项目经费。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1.行政事业单位养老支出（款）机关事业单位基本养老保险缴费支出（项）。年初预算2,165.5万元，支出决算2,165.5万元，完成年初预算的100%。决算数与年初预算数相同。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2.行政事业单位养老支出（款）机关事业单位职业年金缴费支出（项）。年初预算1,082.75万元，支出决算1,082.75万元，完成年初预算的100%。决算数与年初预算数相同。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3.行政事业单位养老支出（款）其他行政事业单位养老支出（项）。年初预算412.01万元，支出决算412.01万元，完成年初预算的100%。决算数与年初预算数相同。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（四）卫生健康支出（类）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公共卫生（款）突发公共卫生事件应急处理（项）。年初预算0万元，支出决算1,238万元，（年初预算数为0万元，无法计算完成比率）决算数与年初预算数的差异原因：追加疫情防控专项经费。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1.住房改革支出（款）住房公积金（项）。年初预算3,904.53万元，支出决算3,904.53万元，完成年初预算的100%。决算数与年初预算数相同。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2.住房改革支出（款）提租补贴（项）。年初预算10,980.26万元，支出决算10,980.26万元，完成年初预算的100%。决算数与年初预算数相同。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其他支出（款）其他支出（项）。年初预算0万元，支出决算1,092.64万元，（年初预算数为0万元，无法计算完成比率）决算数与年初预算数的差异原因：追加基本建设类项目经费。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2022年度财政拨款基本支出决算62,704.65万元，其中：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（一）人员经费54,308.28万元。</w:t>
      </w:r>
      <w:r>
        <w:rPr>
          <w:rFonts w:ascii="仿宋" w:hAnsi="仿宋" w:eastAsia="仿宋" w:cs="仿宋"/>
        </w:rPr>
        <w:t>主要包括：基本工资、津贴补贴、奖金、绩效工资、机关事业单位基本养老保险缴费、职业年金缴费、其他社会保障缴费、住房公积金、其他工资福利支出、离休费、退休费、退职（役）费、抚恤金、生活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（二）公用经费8,396.37万元。</w:t>
      </w:r>
      <w:r>
        <w:rPr>
          <w:rFonts w:ascii="仿宋" w:hAnsi="仿宋" w:eastAsia="仿宋" w:cs="仿宋"/>
        </w:rPr>
        <w:t>主要包括：办公费、印刷费、手续费、水费、电费、邮电费、差旅费、维修（护）费、会议费、公务接待费、专用材料费、委托业务费、工会经费、福利费、公务用车运行维护费、其他交通费用、其他商品和服务支出、办公设备购置、专用设备购置、信息网络及软件购置更新。</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2022年度一般公共预算财政拨款支出决算129,055.56万元。与上年相比，减少1,303.9万元，减少1%，变动原因：根据国务院关于严格控制和压减一般性支出的要求，对单位运转类经费压减。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2022年度一般公共预算财政拨款基本支出决算62,704.65万元，其中：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（一）人员经费54,308.28万元。</w:t>
      </w:r>
      <w:r>
        <w:rPr>
          <w:rFonts w:ascii="仿宋" w:hAnsi="仿宋" w:eastAsia="仿宋" w:cs="仿宋"/>
        </w:rPr>
        <w:t>主要包括：基本工资、津贴补贴、奖金、绩效工资、机关事业单位基本养老保险缴费、职业年金缴费、其他社会保障缴费、住房公积金、其他工资福利支出、离休费、退休费、退职（役）费、抚恤金、生活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（二）公用经费8,396.37万元。</w:t>
      </w:r>
      <w:r>
        <w:rPr>
          <w:rFonts w:ascii="仿宋" w:hAnsi="仿宋" w:eastAsia="仿宋" w:cs="仿宋"/>
        </w:rPr>
        <w:t>主要包括：办公费、印刷费、手续费、水费、电费、邮电费、差旅费、维修（护）费、会议费、公务接待费、专用材料费、委托业务费、工会经费、福利费、公务用车运行维护费、其他交通费用、其他商品和服务支出、办公设备购置、专用设备购置、信息网络及软件购置更新。</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九、财政拨款“三公”经费、会议费和培训费支出情况说明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（一）财政拨款“三公”经费支出总体情况说明。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三公”经费支出决算371.65万元（其中：一般公共预算支出371.65万元；政府性基金预算支出0万元；国有资本经营预算支出0万元）。与上年相比，减少173.24万元，变动原因：根据国家和省厅厉行节约反对浪费有关要求，严格控制相关支出。其中，因公出国（境）费支出21.82万元，占“三公”经费的5.87%；公务用车购置及运行维护费支出336.86万元，占“三公”经费的90.64%；公务接待费支出12.97万元，占“三公”经费的3.49%。</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（二）财政拨款“三公”经费支出具体情况说明。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21.82万元（其中：一般公共预算支出21.82万元；政府性基金预算支出0万元；国有资本经营预算支出0万元），支出决算21.82万元（其中：一般公共预算支出21.82万元；政府性基金预算支出0万元；国有资本经营预算支出0万元），完成预算的100%，决算数与预算数相同。全年使用财政拨款涉及的出国（境）团组4个，累计4人次。开支内容：按省财政厅、省外办联合发布的《关于转发财政部、外交部〈因公临时出国经费管理办法〉的通知》中规定的国际机票、境外住宿费、伙食费、公杂费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761.46万元（其中：一般公共预算支出761.46万元；政府性基金预算支出0万元；国有资本经营预算支出0万元），支出决算336.86万元（其中：一般公共预算支出336.86万元；政府性基金预算支出0万元；国有资本经营预算支出0万元），完成预算的44.24%，决算数与预算数的差异原因：根据国家和省厅严格控制和压减一般性支出的要求加强公车管理；追加执法执勤车辆购置费238万，因履行政府采购需要时间，本年未能完成采购。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336.86万元。公务用车运行维护费主要用于按规定保留的公务用车的燃料费、维修费、过桥过路费、保险费、安全奖励费用等支出。截至2022年12月31日，使用财政拨款开支的公务用车保有量为176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104.66万元（其中：一般公共预算支出104.66万元；政府性基金预算支出0万元；国有资本经营预算支出0万元），支出决算12.97万元（其中：一般公共预算支出12.97万元；政府性基金预算支出0万元；国有资本经营预算支出0万元），完成预算的12.39%，决算数与预算数的差异原因：根据国家和省厅厉行节约、反对浪费的有关要求，我厅严格执行相关规定，实行公务接待事先审批，从严控制公务接待任务、接待标准及配餐人数。其中：国内公务接待支出12.97万元，接待82批次，1442人次，开支内容：主要为接待来苏、来厅考察和联系工作的外省（市、区）公安机关和有关部门人员；应邀来厅授课、办案指导的领导、专家、学者和相关人员；因工作需要接待的其他人员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（三）财政拨款会议费支出决算情况说明。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会议费支出预算126万元（其中：一般公共预算支出126万元；政府性基金预算支出0万元；国有资本经营预算支出0万元），支出决算50.03万元（其中：一般公共预算支出50.03万元；政府性基金预算支出0万元；国有资本经营预算支出0万元），完成预算的39.71%，决算数与预算数的差异原因：根据国家和省厅厉行节约、反对浪费的有关要求，我厅严格执行会议费相关管理规定，从严控制会议数量、会期、规模和费用。2022年度全年召开会议25个，参加会议4532人次，开支内容：警种部门专项工作座谈会、案件评析会、全省重点工作推进会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培训费支出预算330万元（其中：一般公共预算支出330万元；政府性基金预算支出0万元；国有资本经营预算支出0万元），支出决算279.57万元（其中：一般公共预算支出279.57万元；政府性基金预算支出0万元；国有资本经营预算支出0万元），完成预算的84.72%，决算数与预算数的差异原因：根据国家和省厅厉行节约、反对浪费的有关要求，我厅严格执行培训费相关管理规定，从严控制培训班规模、办班地点及授课劳务费标准等；同时积极改进培训方式，大力采用在线培训。2022年度全年组织培训41个，组织培训2696人次，开支内容：主要为各部门业务培训及实战练兵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2022年度政府性基金预算财政拨款支出决算0万元。与上年决算数相同。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十二、财政拨款机关运行经费支出决算情况说明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机关运行经费支出决算8,396.37万元（其中：一般公共预算支出8,396.37万元；政府性基金预算支出0万元；国有资本经营预算支出0万元）。与上年相比，减少563.62万元，减少6.29%，变动原因：根据国家和省厅厉行节约反对浪费有关要求严格控制各项经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总额58,822.4万元，其中：政府采购货物支出28,342.43万元、政府采购工程支出1,937.68万元、政府采购服务支出28,542.3万元。政府采购授予中小企业合同金额0万元，占政府采购支出总额的0%，其中：授予小微企业合同金额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本单位共有车辆176辆，其中，一般公务用车5辆、执法执勤用车45辆、特种专业技术用车115辆、业务用车7辆、其他用车4辆等。单价100万元（含）以上的设备63台（不含车辆）。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2022年度，本单位共0个项目开展了财政绩效评价，涉及财政性资金合计0万元；本单位未开展单位整体支出财政绩效评价，涉及财政性资金0万元。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2022年度，本单位共13个项目开展了绩效自评价，涉及财政性资金合计46,924.25万元；本单位共开展1项单位整体支出绩效自评价，涉及财政性资金合计100,488.32万元。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财政拨款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十九、一般公共服务支出(类)其他一般公共服务支出(款)其他一般公共服务支出(项)</w:t>
      </w:r>
      <w:r>
        <w:rPr>
          <w:rFonts w:ascii="仿宋" w:hAnsi="仿宋" w:eastAsia="仿宋" w:cs="仿宋"/>
          <w:b/>
        </w:rPr>
        <w:t>：</w:t>
      </w:r>
      <w:r>
        <w:rPr>
          <w:rFonts w:hint="eastAsia" w:ascii="仿宋" w:hAnsi="仿宋" w:eastAsia="仿宋" w:cs="仿宋"/>
        </w:rPr>
        <w:t>反映除上述项目以外的其他一般公共服务支出。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二十、公共安全支出(类)公安(款)行政运行(项)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二十一、公共安全支出(类)公安(款)信息化建设(项)</w:t>
      </w:r>
      <w:r>
        <w:rPr>
          <w:rFonts w:ascii="仿宋" w:hAnsi="仿宋" w:eastAsia="仿宋" w:cs="仿宋"/>
          <w:b/>
        </w:rPr>
        <w:t>：</w:t>
      </w:r>
      <w:r>
        <w:rPr>
          <w:rFonts w:hint="eastAsia" w:ascii="仿宋" w:hAnsi="仿宋" w:eastAsia="仿宋" w:cs="仿宋"/>
        </w:rPr>
        <w:t>反映各级公安机关用于非涉密的信息网络建设和运行维护相关支出。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二十二、公共安全支出(类)公安(款)执法办案(项)</w:t>
      </w:r>
      <w:r>
        <w:rPr>
          <w:rFonts w:ascii="仿宋" w:hAnsi="仿宋" w:eastAsia="仿宋" w:cs="仿宋"/>
          <w:b/>
        </w:rPr>
        <w:t>：</w:t>
      </w:r>
      <w:r>
        <w:rPr>
          <w:rFonts w:hint="eastAsia" w:ascii="仿宋" w:hAnsi="仿宋" w:eastAsia="仿宋" w:cs="仿宋"/>
        </w:rPr>
        <w:t>反映公安机关从事行政执法、刑事司法及侦查办案等相关活动的支出。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二十三、公共安全支出(类)公安(款)其他公安支出(项)</w:t>
      </w:r>
      <w:r>
        <w:rPr>
          <w:rFonts w:ascii="仿宋" w:hAnsi="仿宋" w:eastAsia="仿宋" w:cs="仿宋"/>
          <w:b/>
        </w:rPr>
        <w:t>：</w:t>
      </w:r>
      <w:r>
        <w:rPr>
          <w:rFonts w:hint="eastAsia" w:ascii="仿宋" w:hAnsi="仿宋" w:eastAsia="仿宋" w:cs="仿宋"/>
        </w:rPr>
        <w:t>反映除上述项目以外其他用于公安方面的支出。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二十四、公共安全支出(类)其他公共安全支出(款)其他公共安全支出(项)</w:t>
      </w:r>
      <w:r>
        <w:rPr>
          <w:rFonts w:ascii="仿宋" w:hAnsi="仿宋" w:eastAsia="仿宋" w:cs="仿宋"/>
          <w:b/>
        </w:rPr>
        <w:t>：</w:t>
      </w:r>
      <w:r>
        <w:rPr>
          <w:rFonts w:hint="eastAsia" w:ascii="仿宋" w:hAnsi="仿宋" w:eastAsia="仿宋" w:cs="仿宋"/>
        </w:rPr>
        <w:t>反映除上述项目以外其他用于公共安全方面的支出。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二十六、社会保障和就业支出(类)行政事业单位养老支出(款)机关事业单位职业年金缴费支出(项)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二十七、社会保障和就业支出(类)行政事业单位养老支出(款)其他行政事业单位养老支出(项)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二十八、卫生健康支出(类)公共卫生(款)突发公共卫生事件应急处理(项)</w:t>
      </w:r>
      <w:r>
        <w:rPr>
          <w:rFonts w:ascii="仿宋" w:hAnsi="仿宋" w:eastAsia="仿宋" w:cs="仿宋"/>
          <w:b/>
        </w:rPr>
        <w:t>：</w:t>
      </w:r>
      <w:r>
        <w:rPr>
          <w:rFonts w:hint="eastAsia" w:ascii="仿宋" w:hAnsi="仿宋" w:eastAsia="仿宋" w:cs="仿宋"/>
        </w:rPr>
        <w:t>反映用于突发公共卫生事件应急处理的支出。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二十九、住房保障支出(类)住房改革支出(款)住房公积金(项)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三十一、其他支出(类)其他支出(款)其他支出(项)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BmKszAEAAJ0DAAAOAAAAAAAAAAEAIAAAAB4BAABkcnMvZTJv&#10;RG9jLnhtbFBLBQYAAAAABgAGAFkBAABc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江苏省公安厅（机关）</w:t>
    </w:r>
    <w:r>
      <w:t>2022年度单位决算公开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C024B"/>
    <w:rsid w:val="000F12AB"/>
    <w:rsid w:val="001C31F9"/>
    <w:rsid w:val="002E63B1"/>
    <w:rsid w:val="00407CA7"/>
    <w:rsid w:val="00413AD8"/>
    <w:rsid w:val="004C0647"/>
    <w:rsid w:val="00671ED7"/>
    <w:rsid w:val="00672164"/>
    <w:rsid w:val="006732F1"/>
    <w:rsid w:val="007C0F2D"/>
    <w:rsid w:val="008322BB"/>
    <w:rsid w:val="00867423"/>
    <w:rsid w:val="008B5B05"/>
    <w:rsid w:val="009965EA"/>
    <w:rsid w:val="00A6752E"/>
    <w:rsid w:val="00B92181"/>
    <w:rsid w:val="00BD7F33"/>
    <w:rsid w:val="00C15920"/>
    <w:rsid w:val="00C82582"/>
    <w:rsid w:val="00FA3233"/>
    <w:rsid w:val="010F1E77"/>
    <w:rsid w:val="01536131"/>
    <w:rsid w:val="01657C13"/>
    <w:rsid w:val="01714809"/>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C92423"/>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212517"/>
    <w:rsid w:val="04461F7D"/>
    <w:rsid w:val="044E689B"/>
    <w:rsid w:val="0458580D"/>
    <w:rsid w:val="045E5FB7"/>
    <w:rsid w:val="04820ADC"/>
    <w:rsid w:val="048408D1"/>
    <w:rsid w:val="049256F0"/>
    <w:rsid w:val="0495610D"/>
    <w:rsid w:val="04C730A4"/>
    <w:rsid w:val="04DA4474"/>
    <w:rsid w:val="04DF580C"/>
    <w:rsid w:val="04E946A2"/>
    <w:rsid w:val="04EA46EB"/>
    <w:rsid w:val="05185546"/>
    <w:rsid w:val="052126A9"/>
    <w:rsid w:val="05247FC3"/>
    <w:rsid w:val="05346113"/>
    <w:rsid w:val="05423E9C"/>
    <w:rsid w:val="05600A24"/>
    <w:rsid w:val="05656433"/>
    <w:rsid w:val="05685F23"/>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23C78"/>
    <w:rsid w:val="064A6451"/>
    <w:rsid w:val="064C13A1"/>
    <w:rsid w:val="06542957"/>
    <w:rsid w:val="0681129C"/>
    <w:rsid w:val="06824DC3"/>
    <w:rsid w:val="0695552F"/>
    <w:rsid w:val="069B5E85"/>
    <w:rsid w:val="06C87B62"/>
    <w:rsid w:val="06E710CA"/>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9226A"/>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C5ED9"/>
    <w:rsid w:val="0ADA70C2"/>
    <w:rsid w:val="0AFD463B"/>
    <w:rsid w:val="0B05614C"/>
    <w:rsid w:val="0B134992"/>
    <w:rsid w:val="0B160131"/>
    <w:rsid w:val="0B2B4189"/>
    <w:rsid w:val="0B392278"/>
    <w:rsid w:val="0B675A67"/>
    <w:rsid w:val="0B6B407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66D04"/>
    <w:rsid w:val="0D7F345D"/>
    <w:rsid w:val="0D991370"/>
    <w:rsid w:val="0DAC0D2B"/>
    <w:rsid w:val="0DAD6BC9"/>
    <w:rsid w:val="0DBA3094"/>
    <w:rsid w:val="0DD06A00"/>
    <w:rsid w:val="0DDF0D4D"/>
    <w:rsid w:val="0DFC3CDF"/>
    <w:rsid w:val="0DFD772C"/>
    <w:rsid w:val="0DFF5826"/>
    <w:rsid w:val="0E0A51F9"/>
    <w:rsid w:val="0E1F1C4F"/>
    <w:rsid w:val="0E2252C7"/>
    <w:rsid w:val="0E27451D"/>
    <w:rsid w:val="0E4806AD"/>
    <w:rsid w:val="0E52151F"/>
    <w:rsid w:val="0E5E7568"/>
    <w:rsid w:val="0E601E8E"/>
    <w:rsid w:val="0E662847"/>
    <w:rsid w:val="0E854C8B"/>
    <w:rsid w:val="0E8D69FB"/>
    <w:rsid w:val="0E94230E"/>
    <w:rsid w:val="0E946F22"/>
    <w:rsid w:val="0EA37FCC"/>
    <w:rsid w:val="0EB75826"/>
    <w:rsid w:val="0EE7610B"/>
    <w:rsid w:val="0EF65551"/>
    <w:rsid w:val="0EFE25F0"/>
    <w:rsid w:val="0F111837"/>
    <w:rsid w:val="0F135152"/>
    <w:rsid w:val="0F256D3C"/>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8B7221"/>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7C72F5"/>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5F07F9B"/>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367C2F"/>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51B3B"/>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6E7E6B"/>
    <w:rsid w:val="1C706707"/>
    <w:rsid w:val="1C881C55"/>
    <w:rsid w:val="1C8C6E3B"/>
    <w:rsid w:val="1C8F4549"/>
    <w:rsid w:val="1C9B1094"/>
    <w:rsid w:val="1C9D7829"/>
    <w:rsid w:val="1CA25487"/>
    <w:rsid w:val="1CA90C5B"/>
    <w:rsid w:val="1CBE5E7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464944"/>
    <w:rsid w:val="1D5A4782"/>
    <w:rsid w:val="1D623037"/>
    <w:rsid w:val="1D660B43"/>
    <w:rsid w:val="1D672CB3"/>
    <w:rsid w:val="1D7C0925"/>
    <w:rsid w:val="1D817975"/>
    <w:rsid w:val="1D951979"/>
    <w:rsid w:val="1DAF110E"/>
    <w:rsid w:val="1DB61054"/>
    <w:rsid w:val="1DC835AB"/>
    <w:rsid w:val="1DC94431"/>
    <w:rsid w:val="1DD41F50"/>
    <w:rsid w:val="1DF7725D"/>
    <w:rsid w:val="1DFC15A1"/>
    <w:rsid w:val="1DFC3255"/>
    <w:rsid w:val="1DFD14A7"/>
    <w:rsid w:val="1E107489"/>
    <w:rsid w:val="1E120047"/>
    <w:rsid w:val="1E2456FC"/>
    <w:rsid w:val="1E387717"/>
    <w:rsid w:val="1E426EBA"/>
    <w:rsid w:val="1E5227F5"/>
    <w:rsid w:val="1E5B1486"/>
    <w:rsid w:val="1E6037E4"/>
    <w:rsid w:val="1E6C2CB1"/>
    <w:rsid w:val="1E86604F"/>
    <w:rsid w:val="1E8B2478"/>
    <w:rsid w:val="1EA55F87"/>
    <w:rsid w:val="1EAB38DD"/>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27683B"/>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5A2EF8"/>
    <w:rsid w:val="23655593"/>
    <w:rsid w:val="237044C9"/>
    <w:rsid w:val="23873CA0"/>
    <w:rsid w:val="23A668C2"/>
    <w:rsid w:val="23B5012E"/>
    <w:rsid w:val="23B50BF5"/>
    <w:rsid w:val="23C6058D"/>
    <w:rsid w:val="23CC2CE3"/>
    <w:rsid w:val="23E97DD8"/>
    <w:rsid w:val="23F81D1C"/>
    <w:rsid w:val="24004EF0"/>
    <w:rsid w:val="242552B4"/>
    <w:rsid w:val="242D23BA"/>
    <w:rsid w:val="24361C71"/>
    <w:rsid w:val="244514B2"/>
    <w:rsid w:val="245222E6"/>
    <w:rsid w:val="2455798C"/>
    <w:rsid w:val="246851A0"/>
    <w:rsid w:val="246E4FE1"/>
    <w:rsid w:val="247771B1"/>
    <w:rsid w:val="24797436"/>
    <w:rsid w:val="24893698"/>
    <w:rsid w:val="248A0DA1"/>
    <w:rsid w:val="248B0DC9"/>
    <w:rsid w:val="24AC7248"/>
    <w:rsid w:val="24B228BF"/>
    <w:rsid w:val="24BC54EC"/>
    <w:rsid w:val="24DE364C"/>
    <w:rsid w:val="24EF440E"/>
    <w:rsid w:val="25007ACF"/>
    <w:rsid w:val="25076767"/>
    <w:rsid w:val="25191A92"/>
    <w:rsid w:val="25290357"/>
    <w:rsid w:val="253C3B25"/>
    <w:rsid w:val="25513E86"/>
    <w:rsid w:val="255F5B0A"/>
    <w:rsid w:val="25664EB1"/>
    <w:rsid w:val="257302A1"/>
    <w:rsid w:val="2573629D"/>
    <w:rsid w:val="257B7E43"/>
    <w:rsid w:val="25A7022D"/>
    <w:rsid w:val="25B06295"/>
    <w:rsid w:val="25C32FD6"/>
    <w:rsid w:val="25C603D0"/>
    <w:rsid w:val="25E1520A"/>
    <w:rsid w:val="25E2513A"/>
    <w:rsid w:val="25F45922"/>
    <w:rsid w:val="25FD2F48"/>
    <w:rsid w:val="261E645E"/>
    <w:rsid w:val="262E21CA"/>
    <w:rsid w:val="26713F63"/>
    <w:rsid w:val="26753166"/>
    <w:rsid w:val="267B561B"/>
    <w:rsid w:val="267C5A99"/>
    <w:rsid w:val="2682148D"/>
    <w:rsid w:val="26832765"/>
    <w:rsid w:val="268D22B5"/>
    <w:rsid w:val="269240CC"/>
    <w:rsid w:val="269A47B4"/>
    <w:rsid w:val="269E759F"/>
    <w:rsid w:val="26A526DC"/>
    <w:rsid w:val="26A5448A"/>
    <w:rsid w:val="26BF5BA2"/>
    <w:rsid w:val="26CB1A16"/>
    <w:rsid w:val="26D96B5A"/>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45C73"/>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0422"/>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057BED"/>
    <w:rsid w:val="2B1B36C2"/>
    <w:rsid w:val="2B3C1AAA"/>
    <w:rsid w:val="2B77216D"/>
    <w:rsid w:val="2B7A42C1"/>
    <w:rsid w:val="2B82668D"/>
    <w:rsid w:val="2B8C19B3"/>
    <w:rsid w:val="2B9A7EB4"/>
    <w:rsid w:val="2BB8407D"/>
    <w:rsid w:val="2BBE24DE"/>
    <w:rsid w:val="2BBF0C02"/>
    <w:rsid w:val="2BC270C8"/>
    <w:rsid w:val="2BDD28EB"/>
    <w:rsid w:val="2BE5357A"/>
    <w:rsid w:val="2BEC66B7"/>
    <w:rsid w:val="2BF43094"/>
    <w:rsid w:val="2BF909AA"/>
    <w:rsid w:val="2BFC0D12"/>
    <w:rsid w:val="2C016606"/>
    <w:rsid w:val="2C0757B7"/>
    <w:rsid w:val="2C153E60"/>
    <w:rsid w:val="2C1E422F"/>
    <w:rsid w:val="2C3818FC"/>
    <w:rsid w:val="2C5950A4"/>
    <w:rsid w:val="2C660130"/>
    <w:rsid w:val="2C73502A"/>
    <w:rsid w:val="2CAD3317"/>
    <w:rsid w:val="2CB9711D"/>
    <w:rsid w:val="2CDA0C05"/>
    <w:rsid w:val="2CEA52EC"/>
    <w:rsid w:val="2CF3363A"/>
    <w:rsid w:val="2D000C25"/>
    <w:rsid w:val="2D0F4DB4"/>
    <w:rsid w:val="2D2D36A5"/>
    <w:rsid w:val="2D365B16"/>
    <w:rsid w:val="2D4B38B1"/>
    <w:rsid w:val="2D5646DC"/>
    <w:rsid w:val="2D584691"/>
    <w:rsid w:val="2D6D2070"/>
    <w:rsid w:val="2D9708A4"/>
    <w:rsid w:val="2D9D0838"/>
    <w:rsid w:val="2D9E1C33"/>
    <w:rsid w:val="2DB652A4"/>
    <w:rsid w:val="2DB943B8"/>
    <w:rsid w:val="2DBA2F11"/>
    <w:rsid w:val="2DBB2419"/>
    <w:rsid w:val="2DBF7001"/>
    <w:rsid w:val="2DC26166"/>
    <w:rsid w:val="2DCF44E2"/>
    <w:rsid w:val="2DD13DB6"/>
    <w:rsid w:val="2DD903A8"/>
    <w:rsid w:val="2DEA2F76"/>
    <w:rsid w:val="2DF041FF"/>
    <w:rsid w:val="2DF05F6F"/>
    <w:rsid w:val="2DF76E1B"/>
    <w:rsid w:val="2DFD2DFD"/>
    <w:rsid w:val="2E020414"/>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654E5"/>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656"/>
    <w:rsid w:val="323827BE"/>
    <w:rsid w:val="3240775C"/>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DE722D"/>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997BC6"/>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795D45"/>
    <w:rsid w:val="3C820BF8"/>
    <w:rsid w:val="3C9A772E"/>
    <w:rsid w:val="3CB974FB"/>
    <w:rsid w:val="3CD16A6C"/>
    <w:rsid w:val="3CFC0724"/>
    <w:rsid w:val="3CFF2A56"/>
    <w:rsid w:val="3D015D3A"/>
    <w:rsid w:val="3D083C3D"/>
    <w:rsid w:val="3D0F0BF5"/>
    <w:rsid w:val="3D254DA7"/>
    <w:rsid w:val="3D31435C"/>
    <w:rsid w:val="3D367754"/>
    <w:rsid w:val="3D4D01FD"/>
    <w:rsid w:val="3D8116F1"/>
    <w:rsid w:val="3D842DB5"/>
    <w:rsid w:val="3D927E3F"/>
    <w:rsid w:val="3DB345FF"/>
    <w:rsid w:val="3DB41B96"/>
    <w:rsid w:val="3DD76D85"/>
    <w:rsid w:val="3DD83ABF"/>
    <w:rsid w:val="3DD86A9B"/>
    <w:rsid w:val="3DDA437C"/>
    <w:rsid w:val="3DEE4511"/>
    <w:rsid w:val="3DF461A3"/>
    <w:rsid w:val="3E03072B"/>
    <w:rsid w:val="3E0B6234"/>
    <w:rsid w:val="3E0C4997"/>
    <w:rsid w:val="3E10448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DB5220"/>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386236"/>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26451"/>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D264C6"/>
    <w:rsid w:val="45ED50AE"/>
    <w:rsid w:val="45FD0891"/>
    <w:rsid w:val="46185D52"/>
    <w:rsid w:val="46192347"/>
    <w:rsid w:val="46252A99"/>
    <w:rsid w:val="462C285E"/>
    <w:rsid w:val="4639249F"/>
    <w:rsid w:val="463A0304"/>
    <w:rsid w:val="464A4975"/>
    <w:rsid w:val="465670F7"/>
    <w:rsid w:val="4665558C"/>
    <w:rsid w:val="467C2D95"/>
    <w:rsid w:val="46805F22"/>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9B3721"/>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A67471"/>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46A83"/>
    <w:rsid w:val="4F8B2726"/>
    <w:rsid w:val="4F8B4457"/>
    <w:rsid w:val="4FA41146"/>
    <w:rsid w:val="4FA90297"/>
    <w:rsid w:val="4FD80B7D"/>
    <w:rsid w:val="4FDA01F8"/>
    <w:rsid w:val="4FE561E5"/>
    <w:rsid w:val="4FF221C3"/>
    <w:rsid w:val="4FF27E90"/>
    <w:rsid w:val="4FF5172F"/>
    <w:rsid w:val="4FFA0634"/>
    <w:rsid w:val="500032A2"/>
    <w:rsid w:val="50146059"/>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0FE2865"/>
    <w:rsid w:val="51024103"/>
    <w:rsid w:val="51025571"/>
    <w:rsid w:val="51071719"/>
    <w:rsid w:val="510819A0"/>
    <w:rsid w:val="51200E5F"/>
    <w:rsid w:val="5123009E"/>
    <w:rsid w:val="512C2CA7"/>
    <w:rsid w:val="512D289E"/>
    <w:rsid w:val="514152FB"/>
    <w:rsid w:val="51434ED1"/>
    <w:rsid w:val="514D0397"/>
    <w:rsid w:val="51595CED"/>
    <w:rsid w:val="516445A0"/>
    <w:rsid w:val="518956A9"/>
    <w:rsid w:val="51E101BC"/>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A7FCC"/>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77291D"/>
    <w:rsid w:val="5A852ECF"/>
    <w:rsid w:val="5A9C1659"/>
    <w:rsid w:val="5AA026B8"/>
    <w:rsid w:val="5AA116D7"/>
    <w:rsid w:val="5AAC7C87"/>
    <w:rsid w:val="5AB26B9A"/>
    <w:rsid w:val="5ADA1FF9"/>
    <w:rsid w:val="5AE821DA"/>
    <w:rsid w:val="5AED557F"/>
    <w:rsid w:val="5AF20641"/>
    <w:rsid w:val="5AFD1904"/>
    <w:rsid w:val="5B1552F3"/>
    <w:rsid w:val="5B2B4256"/>
    <w:rsid w:val="5B2C0607"/>
    <w:rsid w:val="5B3034F1"/>
    <w:rsid w:val="5B424CC5"/>
    <w:rsid w:val="5B4672E2"/>
    <w:rsid w:val="5B57504B"/>
    <w:rsid w:val="5B597015"/>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B2206"/>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42A83"/>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AE5E9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66773"/>
    <w:rsid w:val="636D1281"/>
    <w:rsid w:val="63921C8F"/>
    <w:rsid w:val="63974B7F"/>
    <w:rsid w:val="639F7B81"/>
    <w:rsid w:val="63A252D2"/>
    <w:rsid w:val="63B56648"/>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35B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0B5C35"/>
    <w:rsid w:val="6829477F"/>
    <w:rsid w:val="682F4FA9"/>
    <w:rsid w:val="68310698"/>
    <w:rsid w:val="68323C50"/>
    <w:rsid w:val="68376A2A"/>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2A1FF1"/>
    <w:rsid w:val="69423186"/>
    <w:rsid w:val="69432BE1"/>
    <w:rsid w:val="694D728A"/>
    <w:rsid w:val="69594684"/>
    <w:rsid w:val="697F233D"/>
    <w:rsid w:val="6988057F"/>
    <w:rsid w:val="699906A2"/>
    <w:rsid w:val="69A973BA"/>
    <w:rsid w:val="69AC12C2"/>
    <w:rsid w:val="69C40A40"/>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00E6E"/>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864C0"/>
    <w:rsid w:val="6DDD6E36"/>
    <w:rsid w:val="6DEC1C21"/>
    <w:rsid w:val="6E152319"/>
    <w:rsid w:val="6E3B0BAF"/>
    <w:rsid w:val="6E3E0629"/>
    <w:rsid w:val="6E45554E"/>
    <w:rsid w:val="6E501AEB"/>
    <w:rsid w:val="6E5E5CA6"/>
    <w:rsid w:val="6E7C11B5"/>
    <w:rsid w:val="6E7C32EF"/>
    <w:rsid w:val="6E7F556F"/>
    <w:rsid w:val="6E997C25"/>
    <w:rsid w:val="6E9F07E1"/>
    <w:rsid w:val="6EA14A30"/>
    <w:rsid w:val="6EA42846"/>
    <w:rsid w:val="6EB6105A"/>
    <w:rsid w:val="6EBA00D3"/>
    <w:rsid w:val="6EBD1212"/>
    <w:rsid w:val="6EC629FF"/>
    <w:rsid w:val="6EC7282F"/>
    <w:rsid w:val="6EC922AC"/>
    <w:rsid w:val="6ED21161"/>
    <w:rsid w:val="6F04413C"/>
    <w:rsid w:val="6F1C104C"/>
    <w:rsid w:val="6F255735"/>
    <w:rsid w:val="6F26499B"/>
    <w:rsid w:val="6F2F3282"/>
    <w:rsid w:val="6F35524C"/>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3F6856"/>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167266"/>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047EB1"/>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1B0D74"/>
    <w:rsid w:val="7A41363F"/>
    <w:rsid w:val="7A456F6D"/>
    <w:rsid w:val="7A5F16CA"/>
    <w:rsid w:val="7A710D8E"/>
    <w:rsid w:val="7AAA2F92"/>
    <w:rsid w:val="7AB1300F"/>
    <w:rsid w:val="7AB64E52"/>
    <w:rsid w:val="7ADA0EA4"/>
    <w:rsid w:val="7AE75FBC"/>
    <w:rsid w:val="7AFC56DC"/>
    <w:rsid w:val="7AFE508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621902"/>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9D30C5"/>
    <w:rsid w:val="7FA04963"/>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2757</Words>
  <Characters>7652</Characters>
  <Paragraphs>501</Paragraphs>
  <TotalTime>2491</TotalTime>
  <ScaleCrop>false</ScaleCrop>
  <LinksUpToDate>false</LinksUpToDate>
  <CharactersWithSpaces>7672</CharactersWithSpaces>
  <Application>WPS Office_11.8.2.11473_F1E327BC-269C-435d-A152-05C5408002CA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cp:lastPrinted>2023-08-28T06:37:33Z</cp:lastPrinted>
  <dcterms:modified xsi:type="dcterms:W3CDTF">2023-08-30T00:42:24Z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B64C8ED954D74D4AB783F0CA504EC6B5</vt:lpwstr>
  </property>
  <property fmtid="{D5CDD505-2E9C-101B-9397-08002B2CF9AE}" pid="5" name="KSOProductBuildVer">
    <vt:lpwstr>2052-11.8.2.11473</vt:lpwstr>
  </property>
  <property fmtid="{D5CDD505-2E9C-101B-9397-08002B2CF9AE}" pid="6" name="LastSaved">
    <vt:filetime>2021-04-15T00:00:00Z</vt:filetime>
  </property>
</Properties>
</file>