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pPr>
              <w:pStyle w:val="8"/>
              <w:spacing w:line="360" w:lineRule="auto"/>
              <w:rPr>
                <w:rFonts w:hint="eastAsia" w:ascii="仿宋" w:hAnsi="仿宋" w:eastAsia="仿宋" w:cs="仿宋"/>
                <w:b/>
                <w:bCs/>
                <w:color w:val="FF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vAlign w:val="top"/>
          </w:tcPr>
          <w:p>
            <w:pPr>
              <w:ind w:right="284" w:rightChars="129"/>
              <w:jc w:val="center"/>
              <w:rPr>
                <w:rFonts w:hint="eastAsia" w:ascii="宋体" w:hAnsi="宋体" w:eastAsia="宋体" w:cs="宋体"/>
                <w:b/>
                <w:bCs/>
                <w:sz w:val="52"/>
                <w:szCs w:val="52"/>
                <w:lang w:val="en-US" w:eastAsia="zh-CN"/>
              </w:rPr>
            </w:pPr>
            <w:r>
              <w:rPr>
                <w:rFonts w:ascii="宋体" w:hAnsi="宋体" w:eastAsia="宋体" w:cs="宋体"/>
                <w:b/>
                <w:sz w:val="52"/>
              </w:rPr>
              <w:t>2022年度</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江苏省公安厅（机关）</w:t>
            </w:r>
            <w:r>
              <w:rPr>
                <w:rFonts w:ascii="宋体" w:hAnsi="宋体" w:eastAsia="宋体" w:cs="宋体"/>
                <w:b/>
                <w:sz w:val="52"/>
              </w:rPr>
              <w:cr/>
            </w:r>
            <w:r>
              <w:rPr>
                <w:rFonts w:ascii="宋体" w:hAnsi="宋体" w:eastAsia="宋体" w:cs="宋体"/>
                <w:b/>
                <w:sz w:val="52"/>
              </w:rPr>
              <w:br w:type="textWrapping"/>
            </w:r>
            <w:r>
              <w:rPr>
                <w:rFonts w:ascii="宋体" w:hAnsi="宋体" w:eastAsia="宋体" w:cs="宋体"/>
                <w:b/>
                <w:sz w:val="52"/>
              </w:rPr>
              <w:t>单位决算公开</w:t>
            </w:r>
          </w:p>
        </w:tc>
      </w:tr>
    </w:tbl>
    <w:p>
      <w:pPr>
        <w:ind w:right="284" w:rightChars="129"/>
        <w:jc w:val="both"/>
        <w:rPr>
          <w:rFonts w:hint="eastAsia" w:ascii="宋体" w:hAnsi="宋体" w:eastAsia="宋体" w:cs="宋体"/>
          <w:b/>
          <w:bCs/>
          <w:sz w:val="52"/>
          <w:szCs w:val="52"/>
        </w:rPr>
        <w:sectPr>
          <w:headerReference r:id="rId5" w:type="first"/>
          <w:headerReference r:id="rId4" w:type="default"/>
          <w:pgSz w:w="11906" w:h="16838"/>
          <w:pgMar w:top="1580" w:right="70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tabs>
          <w:tab w:val="left" w:pos="880"/>
        </w:tabs>
        <w:spacing w:line="718" w:lineRule="exact"/>
        <w:ind w:right="313" w:firstLine="0"/>
        <w:outlineLvl w:val="0"/>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spacing w:before="7" w:after="0"/>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outlineLvl w:val="0"/>
        <w:rPr>
          <w:rFonts w:hint="eastAsia" w:ascii="黑体" w:hAnsi="黑体" w:eastAsia="黑体" w:cs="黑体"/>
          <w:b w:val="0"/>
          <w:bCs w:val="0"/>
        </w:rPr>
      </w:pPr>
      <w:r>
        <w:rPr>
          <w:rFonts w:hint="eastAsia" w:ascii="黑体" w:hAnsi="黑体" w:eastAsia="黑体" w:cs="黑体"/>
          <w:b w:val="0"/>
          <w:bCs w:val="0"/>
        </w:rPr>
        <w:t xml:space="preserve">第一部分 </w:t>
      </w:r>
      <w:r>
        <w:rPr>
          <w:rFonts w:hint="eastAsia" w:ascii="黑体" w:hAnsi="黑体" w:eastAsia="黑体" w:cs="黑体"/>
          <w:b w:val="0"/>
          <w:bCs w:val="0"/>
          <w:lang w:val="en-US" w:eastAsia="zh-CN"/>
        </w:rPr>
        <w:t>单位</w:t>
      </w:r>
      <w:r>
        <w:rPr>
          <w:rFonts w:hint="eastAsia" w:ascii="黑体" w:hAnsi="黑体" w:eastAsia="黑体" w:cs="黑体"/>
          <w:b w:val="0"/>
          <w:bCs w:val="0"/>
        </w:rPr>
        <w:t>概况</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机构设置及决算单位构成情况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w:t>
      </w:r>
      <w:r>
        <w:rPr>
          <w:rFonts w:hint="eastAsia" w:ascii="仿宋" w:hAnsi="仿宋" w:eastAsia="仿宋" w:cs="仿宋"/>
          <w:lang w:val="en-US" w:eastAsia="zh-CN"/>
        </w:rPr>
        <w:t>2</w:t>
      </w:r>
      <w:r>
        <w:rPr>
          <w:rFonts w:hint="eastAsia" w:ascii="仿宋" w:hAnsi="仿宋" w:eastAsia="仿宋" w:cs="仿宋"/>
        </w:rPr>
        <w:t>年度主要工作完成情况</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rPr>
      </w:pPr>
      <w:r>
        <w:rPr>
          <w:rFonts w:hint="eastAsia" w:ascii="黑体" w:hAnsi="黑体" w:eastAsia="黑体" w:cs="黑体"/>
          <w:b w:val="0"/>
          <w:bCs w:val="0"/>
          <w:lang w:val="en-US" w:eastAsia="zh-CN"/>
        </w:rPr>
        <w:t>第二部分 2022年度</w:t>
      </w:r>
      <w:r>
        <w:rPr>
          <w:rFonts w:ascii="黑体" w:hAnsi="黑体" w:eastAsia="黑体" w:cs="黑体"/>
        </w:rPr>
        <w:t>单位决算表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spacing w:val="-2"/>
        </w:rPr>
        <w:t>一、收入支出决算总表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rPr>
        <w:t>二、收入决算表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w w:val="95"/>
        </w:rPr>
        <w:t>三、支出决算表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四、财政拨款收入支出决算总表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五、财政拨款支出决算表（功能科目）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六、财政拨款基本支出决算表（经济科目）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七、一般公共预算支出决算表（功能科目）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八、一般公共预算基本支出决算表（经济科目）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eastAsia="zh-CN"/>
        </w:rPr>
        <w:t>财政拨款“三公”经费、会议费和培训费支出决算表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default" w:ascii="仿宋" w:hAnsi="仿宋" w:eastAsia="仿宋" w:cs="仿宋"/>
          <w:lang w:val="en-US" w:eastAsia="zh-CN"/>
        </w:rPr>
      </w:pPr>
      <w:r>
        <w:rPr>
          <w:rFonts w:hint="eastAsia" w:ascii="仿宋" w:hAnsi="仿宋" w:eastAsia="仿宋" w:cs="仿宋"/>
        </w:rPr>
        <w:t>十一、</w:t>
      </w:r>
      <w:r>
        <w:rPr>
          <w:rFonts w:hint="eastAsia" w:ascii="仿宋" w:hAnsi="仿宋" w:eastAsia="仿宋" w:cs="仿宋"/>
          <w:lang w:val="en-US" w:eastAsia="zh-CN"/>
        </w:rPr>
        <w:t>国有资本经营预算支出决算表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w:t>
      </w:r>
      <w:r>
        <w:rPr>
          <w:rFonts w:hint="eastAsia" w:ascii="仿宋" w:hAnsi="仿宋" w:eastAsia="仿宋" w:cs="仿宋"/>
          <w:lang w:val="en-US" w:eastAsia="zh-CN"/>
        </w:rPr>
        <w:t>财政拨款</w:t>
      </w:r>
      <w:r>
        <w:rPr>
          <w:rFonts w:hint="eastAsia" w:ascii="仿宋" w:hAnsi="仿宋" w:eastAsia="仿宋" w:cs="仿宋"/>
        </w:rPr>
        <w:t>机关运行经费支出决算表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第三部分 2022年度</w:t>
      </w:r>
      <w:r>
        <w:rPr>
          <w:rFonts w:ascii="黑体" w:hAnsi="黑体" w:eastAsia="黑体" w:cs="黑体"/>
        </w:rPr>
        <w:t>单位决算情况说明</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default" w:ascii="仿宋" w:hAnsi="仿宋" w:eastAsia="仿宋" w:cs="仿宋"/>
          <w:b/>
          <w:bCs/>
          <w:color w:val="000000"/>
          <w:sz w:val="30"/>
          <w:szCs w:val="30"/>
          <w:lang w:val="en-US" w:eastAsia="zh-CN" w:bidi="ar"/>
        </w:rPr>
      </w:pPr>
      <w:r>
        <w:rPr>
          <w:rFonts w:hint="eastAsia" w:ascii="黑体" w:hAnsi="黑体" w:eastAsia="黑体" w:cs="黑体"/>
          <w:b w:val="0"/>
          <w:bCs w:val="0"/>
          <w:lang w:val="en-US" w:eastAsia="zh-CN"/>
        </w:rPr>
        <w:t>第四部分 名词解释</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700" w:bottom="770" w:left="1020" w:header="283"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outlineLvl w:val="0"/>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eastAsia="zh-CN"/>
        </w:rPr>
        <w:t xml:space="preserve"> </w:t>
      </w:r>
      <w:r>
        <w:rPr>
          <w:rFonts w:hint="eastAsia" w:ascii="宋体" w:hAnsi="宋体" w:eastAsia="宋体" w:cs="宋体"/>
          <w:b/>
          <w:bCs/>
        </w:rPr>
        <w:t>单位概况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（1）拟订全省公安工作政策、规划，起草有关地方性法规、规章草案，部署、指导、检查、监督全省公安工作。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2）组织指导全省公安机关侦查工作，协调侦办重大刑事犯罪案件。组织指导全省公安机关侦办食品药品、知识产权、生态环境、森林、生物安全、金融等领域犯罪案件。负责侦办上级交办和在全省有重大影响的严重犯罪案件。</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3）负责全省治安管理工作。协调处理重大治安事故和事件，组织、指导、监督全省公安机关依法查处破坏社会治安秩序行为，依法开展治安行政管理和危险化学品管理工作，组织、指导、监督全省公安机关治安保卫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（4）实施并指导、监督全省公安机关对公共信息网络的安全保护工作，负责信息安全等级保护工作的监督、检查、指导。</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（5）组织、指导、协调对恐怖活动的防范、侦察和打击工作。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（6）组织、指导、协调禁毒工作。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（7）实施、指导公民因私出国（境）管理，实施来华工作和留学外国人入境、居留、签证管理。受理国籍、外国人永久居留申请。</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（8）指导、监督全省公安机关依法承担的执行刑罚工作，指导、监督全省公安机关对看守所、拘留所、强制隔离戒毒所、收容教育所的管理工作，指导、监督全省收容教养审批工作。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（9）做好有关党和国家领导人以及重要外宾来我省的安全警卫工作。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（10）组织实施全省公安科学技术工作，规划全省公安机关的指挥系统、大数据技术、刑事技术建设。</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（11）拟订全省公安机关经费、装备、被装、基本建设等标准、制度。</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（12）负责并统一领导全省警用航空器运行、安全和管理工作。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13）组织全省公安机关开展与国际刑警组织、外国警方及港澳台警方的交往与业务合作，履行与公安工作有关的国际条约和合作协议。牵头负责境外非政府组织在省内活动的管理工作。承担全省公安机关跨国（境）案件侦办协作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14）拟订全省公安队伍建设的政策、规划，按规定权限管理干部。拟订全省公安队伍监督管理工作制度，组织、指导全省公安机关督察工作，按规定权限实施对干部的监督，查处或督办公安队伍重大违纪案件，指导全省公安队伍思想政治建设和工作作风建设。</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（15）承担省反恐怖工作领导小组、省禁毒委员会的具体工作。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（16）完成省委、省政府和公安部交办的其他任务。</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二、</w:t>
      </w:r>
      <w:r>
        <w:rPr>
          <w:rFonts w:ascii="黑体" w:hAnsi="黑体" w:eastAsia="黑体" w:cs="黑体"/>
        </w:rPr>
        <w:t>单位</w:t>
      </w:r>
      <w:r>
        <w:rPr>
          <w:rFonts w:hint="eastAsia" w:ascii="黑体" w:hAnsi="黑体" w:eastAsia="黑体" w:cs="黑体"/>
          <w:b w:val="0"/>
          <w:bCs w:val="0"/>
        </w:rPr>
        <w:t>机构设置及决算单位构成情况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rPr>
      </w:pP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ascii="仿宋" w:hAnsi="仿宋" w:eastAsia="仿宋" w:cs="仿宋"/>
        </w:rPr>
        <w:t>本单位内设机构包括办公室、政治部、机关党委、警务保障部、情报指挥中心、治安警察总队、刑事警察总队、禁毒总队、法制总队等。本单位下属单位包括：居民身份证制作中心、毒品检测化验中心等。</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三、</w:t>
      </w:r>
      <w:r>
        <w:rPr>
          <w:rFonts w:hint="eastAsia" w:ascii="黑体" w:hAnsi="黑体" w:eastAsia="黑体" w:cs="黑体"/>
          <w:b w:val="0"/>
          <w:bCs w:val="0"/>
          <w:lang w:eastAsia="zh-CN"/>
        </w:rPr>
        <w:t>2022</w:t>
      </w:r>
      <w:r>
        <w:rPr>
          <w:rFonts w:hint="eastAsia" w:ascii="黑体" w:hAnsi="黑体" w:eastAsia="黑体" w:cs="黑体"/>
          <w:b w:val="0"/>
          <w:bCs w:val="0"/>
        </w:rPr>
        <w:t>年度主要工作完成情况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2022年，全省公安机关坚持以习近平新时代中国特色社会主义思想为指导，在省委、省政府、公安部和省委政法委坚强领导下，深入学习贯彻党的二十大精神和习近平总书记对新时代公安工作、江苏工作的重要指示精神，深刻领悟“两个确立”的决定性意义，切实增强“四个意识”、坚定“四个自信”、做到“两个维护”，以党的二十大安保维稳为主线，忠诚履职、守正创新，统筹推进防风险、保安全、控疫情、促发展、惠民生各项工作，有力维护了全省社会大局持续平安稳定，全面开启了江苏公安事业发展新篇章。部省领导多次批示肯定、表扬，发来贺电或通令嘉奖，多项创新做法被公安部通报、向全国推广。</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重大安保拼出历史佳绩。圆满完成北京冬奥会冬残奥会、香港回归25周年、第二十届省运会、上海进博会、国家公祭仪式等重大安保任务，确保社会稳定，高效处置了一批突发敏感事端，特别是奋力夺取党的二十大安保维稳大战大考全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保民平安打出赫赫声威。全年破案率稳步提高，现行命案全破，一批命案积案沉冤昭雪，部分有重大社会影响的案件被公安部评为精品案例，电信网络诈骗案件发案数、道路交通事故起数、亡人数同比再压降，群众安全感</w:t>
      </w:r>
      <w:r>
        <w:rPr>
          <w:rFonts w:hint="eastAsia" w:ascii="仿宋" w:hAnsi="仿宋" w:eastAsia="仿宋" w:cs="仿宋"/>
          <w:lang w:eastAsia="zh-CN"/>
        </w:rPr>
        <w:t>达到</w:t>
      </w:r>
      <w:r>
        <w:rPr>
          <w:rFonts w:ascii="仿宋" w:hAnsi="仿宋" w:eastAsia="仿宋" w:cs="仿宋"/>
        </w:rPr>
        <w:t>历史新高。</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——实战改革迈出跨越步伐。制定形成“省级主责、市县主战、派出所主防”职能体系“江苏方案”，情指行一体化和省级层面联合研判机制形成常态，公安应对处置大事急事难事的能力水平</w:t>
      </w:r>
      <w:r>
        <w:rPr>
          <w:rFonts w:hint="eastAsia" w:ascii="仿宋" w:hAnsi="仿宋" w:eastAsia="仿宋" w:cs="仿宋"/>
          <w:lang w:eastAsia="zh-CN"/>
        </w:rPr>
        <w:t>明显</w:t>
      </w:r>
      <w:r>
        <w:rPr>
          <w:rFonts w:ascii="仿宋" w:hAnsi="仿宋" w:eastAsia="仿宋" w:cs="仿宋"/>
        </w:rPr>
        <w:t>提升，“全警一盘棋”的整体作战格局初步建立，王小洪同志给予充分肯定，并向全国推广“江苏经验”。</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服务发展创出特色品牌。坚决落实“疫情要防住、经济要稳住、发展要安全”重大要求，以主责主力高质量完成流调溯源、社区防控、区域协查、入境转运等艰巨防疫任务，及时出台助企纾困、优化营商环境“双十条”措施，为企业解决困难诉求万余件、挽回经济损失数十亿元，网上网下多渠道服务群众超亿人次，成功承办全球公共安全合作论坛（连云港）首届大会，做到了大局之中有作为、关键时刻显担当。</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公安队伍现出蓬勃生机。坚持以新时代新思想培根铸魂，全面从严管党治警导向更加鲜明，全覆盖大监督格局日臻完善，厅机关大警种部门设立党委、政工干部专职化、干部平时考核考察等创新制度梯次推出，政治轮训、实战练兵覆盖全警，年内全省有7名同志被授予二级英模荣誉称号，39个集体、66名个人受到省部级以上表彰，一批政治坚定、忠诚可靠、年富力强的优秀干部得到提拔任用，江苏公安的精气神、战斗力全面提振。</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bookmarkStart w:id="0" w:name="_GoBack"/>
      <w:bookmarkEnd w:id="0"/>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rPr>
        <w:t>第二部分</w:t>
      </w:r>
    </w:p>
    <w:p>
      <w:pPr>
        <w:pStyle w:val="21"/>
        <w:widowControl w:val="0"/>
        <w:tabs>
          <w:tab w:val="left" w:pos="1609"/>
        </w:tabs>
        <w:suppressAutoHyphens/>
        <w:bidi w:val="0"/>
        <w:spacing w:before="12" w:after="0"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u w:val="none"/>
        </w:rPr>
        <w:t>江苏省公安厅（机关）</w:t>
      </w: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r>
        <w:rPr>
          <w:rFonts w:hint="eastAsia" w:ascii="宋体" w:hAnsi="宋体" w:eastAsia="宋体" w:cs="宋体"/>
          <w:b/>
          <w:bCs/>
          <w:sz w:val="36"/>
          <w:szCs w:val="36"/>
          <w:lang w:eastAsia="zh-CN"/>
        </w:rPr>
        <w:t>2022</w:t>
      </w:r>
      <w:r>
        <w:rPr>
          <w:rFonts w:hint="eastAsia" w:ascii="宋体" w:hAnsi="宋体" w:eastAsia="宋体" w:cs="宋体"/>
          <w:b/>
          <w:bCs/>
          <w:sz w:val="36"/>
          <w:szCs w:val="36"/>
        </w:rPr>
        <w:t>年度</w:t>
      </w:r>
      <w:r>
        <w:rPr>
          <w:rFonts w:hint="eastAsia" w:ascii="宋体" w:hAnsi="宋体" w:eastAsia="宋体" w:cs="宋体"/>
          <w:b/>
          <w:bCs/>
          <w:sz w:val="36"/>
          <w:szCs w:val="36"/>
          <w:lang w:val="en-US" w:eastAsia="zh-CN"/>
        </w:rPr>
        <w:t>单位</w:t>
      </w:r>
      <w:r>
        <w:rPr>
          <w:rFonts w:ascii="宋体" w:hAnsi="宋体" w:eastAsia="宋体" w:cs="宋体"/>
          <w:b/>
          <w:sz w:val="36"/>
        </w:rPr>
        <w:t>决算表</w:t>
      </w: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p>
    <w:p>
      <w:pPr>
        <w:pStyle w:val="21"/>
        <w:widowControl w:val="0"/>
        <w:tabs>
          <w:tab w:val="left" w:pos="1609"/>
        </w:tabs>
        <w:suppressAutoHyphens/>
        <w:bidi w:val="0"/>
        <w:spacing w:before="12" w:after="0" w:line="300" w:lineRule="auto"/>
        <w:ind w:left="340" w:right="567" w:firstLine="0"/>
        <w:jc w:val="center"/>
        <w:outlineLvl w:val="1"/>
        <w:rPr>
          <w:rFonts w:ascii="宋体" w:hAnsi="宋体" w:eastAsia="宋体" w:cs="宋体"/>
          <w:b/>
          <w:sz w:val="36"/>
        </w:rPr>
      </w:pPr>
    </w:p>
    <w:p>
      <w:pPr>
        <w:pStyle w:val="21"/>
        <w:widowControl w:val="0"/>
        <w:tabs>
          <w:tab w:val="left" w:pos="1609"/>
        </w:tabs>
        <w:suppressAutoHyphens/>
        <w:bidi w:val="0"/>
        <w:spacing w:before="12" w:after="0" w:line="300" w:lineRule="auto"/>
        <w:ind w:left="340" w:right="567" w:firstLine="0"/>
        <w:jc w:val="center"/>
        <w:outlineLvl w:val="1"/>
        <w:rPr>
          <w:rFonts w:hint="eastAsia" w:ascii="宋体" w:hAnsi="宋体" w:eastAsia="宋体" w:cs="宋体"/>
          <w:b/>
          <w:sz w:val="36"/>
        </w:rPr>
      </w:pP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tblPrEx>
          <w:tblCellMar>
            <w:top w:w="0" w:type="dxa"/>
            <w:left w:w="108" w:type="dxa"/>
            <w:bottom w:w="0" w:type="dxa"/>
            <w:right w:w="108" w:type="dxa"/>
          </w:tblCellMar>
        </w:tblPrEx>
        <w:trPr>
          <w:trHeight w:val="544" w:hRule="atLeast"/>
          <w:jc w:val="center"/>
        </w:trPr>
        <w:tc>
          <w:tcPr>
            <w:tcW w:w="10447" w:type="dxa"/>
            <w:gridSpan w:val="5"/>
          </w:tcPr>
          <w:p>
            <w:pPr>
              <w:pageBreakBefore/>
              <w:widowControl w:val="0"/>
              <w:ind w:left="0" w:right="0" w:firstLine="0"/>
              <w:jc w:val="center"/>
              <w:textAlignment w:val="auto"/>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tblPrEx>
          <w:tblCellMar>
            <w:top w:w="0" w:type="dxa"/>
            <w:left w:w="108" w:type="dxa"/>
            <w:bottom w:w="0" w:type="dxa"/>
            <w:right w:w="108" w:type="dxa"/>
          </w:tblCellMar>
        </w:tblPrEx>
        <w:trPr>
          <w:trHeight w:val="348" w:hRule="atLeast"/>
          <w:jc w:val="center"/>
        </w:trPr>
        <w:tc>
          <w:tcPr>
            <w:tcW w:w="3468" w:type="dxa"/>
          </w:tcPr>
          <w:p>
            <w:pPr>
              <w:widowControl w:val="0"/>
              <w:ind w:left="0" w:right="0" w:firstLine="0"/>
              <w:jc w:val="left"/>
              <w:textAlignment w:val="auto"/>
              <w:rPr>
                <w:rFonts w:hint="eastAsia" w:ascii="仿宋" w:hAnsi="仿宋" w:eastAsia="仿宋" w:cs="仿宋"/>
                <w:color w:val="000000"/>
                <w:sz w:val="20"/>
              </w:rPr>
            </w:pPr>
          </w:p>
        </w:tc>
        <w:tc>
          <w:tcPr>
            <w:tcW w:w="1777" w:type="dxa"/>
          </w:tcPr>
          <w:p>
            <w:pPr>
              <w:widowControl w:val="0"/>
              <w:ind w:left="0" w:right="0" w:firstLine="0"/>
              <w:jc w:val="left"/>
              <w:textAlignment w:val="auto"/>
              <w:rPr>
                <w:rFonts w:hint="eastAsia" w:ascii="仿宋" w:hAnsi="仿宋" w:eastAsia="仿宋" w:cs="仿宋"/>
                <w:color w:val="000000"/>
                <w:sz w:val="20"/>
              </w:rPr>
            </w:pPr>
          </w:p>
        </w:tc>
        <w:tc>
          <w:tcPr>
            <w:tcW w:w="5202" w:type="dxa"/>
            <w:gridSpan w:val="3"/>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ar-SA"/>
              </w:rPr>
              <w:t>公开01表</w:t>
            </w:r>
          </w:p>
        </w:tc>
      </w:tr>
      <w:tr>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color w:val="000000"/>
                <w:sz w:val="22"/>
                <w:szCs w:val="22"/>
                <w:lang w:eastAsia="ar-SA"/>
              </w:rPr>
              <w:t>江苏省公安厅（机关）</w:t>
            </w:r>
          </w:p>
        </w:tc>
        <w:tc>
          <w:tcPr>
            <w:tcW w:w="3167"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rPr>
              <w:t>金额单位：万元</w:t>
            </w:r>
          </w:p>
        </w:tc>
      </w:tr>
      <w:tr>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支出</w:t>
            </w:r>
          </w:p>
        </w:tc>
      </w:tr>
      <w:tr>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ascii="仿宋" w:hAnsi="仿宋" w:eastAsia="仿宋" w:cs="仿宋"/>
                <w:color w:val="000000"/>
                <w:sz w:val="22"/>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132,006.10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21.82</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108,343.14</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3,660.26</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1,238.00</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14,884.79</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1,092.64</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132,006.10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129,240.65</w:t>
            </w:r>
          </w:p>
        </w:tc>
      </w:tr>
      <w:tr>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使用非财政拨款结余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p>
        </w:tc>
      </w:tr>
      <w:tr>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3,892.00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6,657.46</w:t>
            </w:r>
          </w:p>
        </w:tc>
      </w:tr>
      <w:tr>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1777"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3376" w:type="dxa"/>
            <w:gridSpan w:val="2"/>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1826"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r>
      <w:tr>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135,898.10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135,898.10</w:t>
            </w:r>
          </w:p>
        </w:tc>
      </w:tr>
    </w:tbl>
    <w:p>
      <w:pPr>
        <w:widowControl w:val="0"/>
        <w:suppressAutoHyphens/>
        <w:bidi w:val="0"/>
        <w:spacing w:before="66" w:after="0"/>
        <w:ind w:left="0" w:leftChars="0" w:right="0" w:rightChars="0" w:firstLine="0" w:firstLineChars="0"/>
        <w:jc w:val="both"/>
        <w:rPr>
          <w:rFonts w:hint="eastAsia" w:ascii="仿宋" w:hAnsi="仿宋" w:eastAsia="仿宋" w:cs="仿宋"/>
          <w:b w:val="0"/>
          <w:bCs w:val="0"/>
          <w:color w:val="000000"/>
          <w:sz w:val="22"/>
          <w:szCs w:val="22"/>
          <w:lang w:val="en-US" w:eastAsia="zh-CN"/>
        </w:rPr>
      </w:pPr>
      <w:r>
        <w:rPr>
          <w:rFonts w:hint="eastAsia" w:ascii="仿宋" w:hAnsi="仿宋" w:eastAsia="仿宋" w:cs="仿宋"/>
          <w:b w:val="0"/>
          <w:bCs w:val="0"/>
          <w:color w:val="000000"/>
          <w:sz w:val="22"/>
          <w:szCs w:val="22"/>
          <w:lang w:val="en-US" w:eastAsia="zh-CN"/>
        </w:rPr>
        <w:t>注：本表反映本年度的总收支和年末结转结余情况。本表金额单位转换时可能存在尾数误差。</w:t>
      </w:r>
    </w:p>
    <w:p>
      <w:pPr>
        <w:widowControl w:val="0"/>
        <w:suppressAutoHyphens/>
        <w:bidi w:val="0"/>
        <w:spacing w:before="66" w:after="0"/>
        <w:ind w:right="0"/>
        <w:jc w:val="both"/>
        <w:rPr>
          <w:rFonts w:hint="eastAsia" w:ascii="仿宋" w:hAnsi="仿宋" w:eastAsia="仿宋" w:cs="仿宋"/>
          <w:b w:val="0"/>
          <w:bCs w:val="0"/>
          <w:color w:val="000000"/>
          <w:sz w:val="22"/>
          <w:szCs w:val="22"/>
        </w:rPr>
        <w:sectPr>
          <w:footerReference r:id="rId7"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tblPrEx>
          <w:tblCellMar>
            <w:top w:w="0" w:type="dxa"/>
            <w:left w:w="108" w:type="dxa"/>
            <w:bottom w:w="0" w:type="dxa"/>
            <w:right w:w="108" w:type="dxa"/>
          </w:tblCellMar>
        </w:tblPrEx>
        <w:trPr>
          <w:trHeight w:val="403" w:hRule="atLeast"/>
          <w:jc w:val="center"/>
        </w:trPr>
        <w:tc>
          <w:tcPr>
            <w:tcW w:w="16660" w:type="dxa"/>
            <w:gridSpan w:val="10"/>
            <w:vAlign w:val="center"/>
          </w:tcPr>
          <w:p>
            <w:pPr>
              <w:pStyle w:val="5"/>
              <w:widowControl w:val="0"/>
              <w:rPr>
                <w:rFonts w:hint="eastAsia" w:ascii="仿宋" w:hAnsi="仿宋" w:eastAsia="仿宋" w:cs="仿宋"/>
                <w:b/>
                <w:bCs/>
                <w:sz w:val="44"/>
                <w:szCs w:val="44"/>
                <w:lang w:val="en-US" w:eastAsia="zh-CN"/>
              </w:rPr>
            </w:pPr>
            <w:r>
              <w:rPr>
                <w:rFonts w:hint="eastAsia" w:ascii="宋体" w:hAnsi="宋体" w:eastAsia="宋体" w:cs="宋体"/>
                <w:b/>
                <w:bCs/>
                <w:color w:val="000000"/>
                <w:kern w:val="0"/>
                <w:sz w:val="36"/>
                <w:szCs w:val="36"/>
                <w:lang w:val="zh-CN" w:eastAsia="ar-SA" w:bidi="zh-CN"/>
              </w:rPr>
              <w:t>收入决算表</w:t>
            </w:r>
          </w:p>
        </w:tc>
      </w:tr>
      <w:tr>
        <w:tblPrEx>
          <w:tblCellMar>
            <w:top w:w="0" w:type="dxa"/>
            <w:left w:w="108" w:type="dxa"/>
            <w:bottom w:w="0" w:type="dxa"/>
            <w:right w:w="108" w:type="dxa"/>
          </w:tblCellMar>
        </w:tblPrEx>
        <w:trPr>
          <w:trHeight w:val="247" w:hRule="atLeast"/>
          <w:jc w:val="center"/>
        </w:trPr>
        <w:tc>
          <w:tcPr>
            <w:tcW w:w="4357" w:type="dxa"/>
            <w:gridSpan w:val="2"/>
            <w:vAlign w:val="center"/>
          </w:tcPr>
          <w:p>
            <w:pPr>
              <w:pStyle w:val="22"/>
              <w:widowControl w:val="0"/>
              <w:jc w:val="center"/>
              <w:rPr>
                <w:rFonts w:hint="eastAsia" w:ascii="仿宋" w:hAnsi="仿宋" w:eastAsia="仿宋" w:cs="仿宋"/>
              </w:rPr>
            </w:pPr>
          </w:p>
        </w:tc>
        <w:tc>
          <w:tcPr>
            <w:tcW w:w="1716" w:type="dxa"/>
            <w:vAlign w:val="center"/>
          </w:tcPr>
          <w:p>
            <w:pPr>
              <w:pStyle w:val="22"/>
              <w:widowControl w:val="0"/>
              <w:jc w:val="center"/>
              <w:rPr>
                <w:rFonts w:hint="eastAsia" w:ascii="仿宋" w:hAnsi="仿宋" w:eastAsia="仿宋" w:cs="仿宋"/>
              </w:rPr>
            </w:pPr>
          </w:p>
        </w:tc>
        <w:tc>
          <w:tcPr>
            <w:tcW w:w="1728" w:type="dxa"/>
            <w:vAlign w:val="center"/>
          </w:tcPr>
          <w:p>
            <w:pPr>
              <w:pStyle w:val="22"/>
              <w:widowControl w:val="0"/>
              <w:jc w:val="center"/>
              <w:rPr>
                <w:rFonts w:hint="eastAsia" w:ascii="仿宋" w:hAnsi="仿宋" w:eastAsia="仿宋" w:cs="仿宋"/>
              </w:rPr>
            </w:pPr>
          </w:p>
        </w:tc>
        <w:tc>
          <w:tcPr>
            <w:tcW w:w="1686" w:type="dxa"/>
            <w:vAlign w:val="center"/>
          </w:tcPr>
          <w:p>
            <w:pPr>
              <w:pStyle w:val="22"/>
              <w:widowControl w:val="0"/>
              <w:jc w:val="center"/>
              <w:rPr>
                <w:rFonts w:hint="eastAsia" w:ascii="仿宋" w:hAnsi="仿宋" w:eastAsia="仿宋" w:cs="仿宋"/>
              </w:rPr>
            </w:pPr>
          </w:p>
        </w:tc>
        <w:tc>
          <w:tcPr>
            <w:tcW w:w="3207" w:type="dxa"/>
            <w:gridSpan w:val="2"/>
            <w:vAlign w:val="center"/>
          </w:tcPr>
          <w:p>
            <w:pPr>
              <w:pStyle w:val="22"/>
              <w:widowControl w:val="0"/>
              <w:jc w:val="center"/>
              <w:rPr>
                <w:rFonts w:hint="eastAsia" w:ascii="仿宋" w:hAnsi="仿宋" w:eastAsia="仿宋" w:cs="仿宋"/>
              </w:rPr>
            </w:pPr>
          </w:p>
        </w:tc>
        <w:tc>
          <w:tcPr>
            <w:tcW w:w="1263" w:type="dxa"/>
            <w:vAlign w:val="center"/>
          </w:tcPr>
          <w:p>
            <w:pPr>
              <w:pStyle w:val="22"/>
              <w:widowControl w:val="0"/>
              <w:jc w:val="center"/>
              <w:rPr>
                <w:rFonts w:hint="eastAsia" w:ascii="仿宋" w:hAnsi="仿宋" w:eastAsia="仿宋" w:cs="仿宋"/>
              </w:rPr>
            </w:pPr>
          </w:p>
        </w:tc>
        <w:tc>
          <w:tcPr>
            <w:tcW w:w="2703" w:type="dxa"/>
            <w:gridSpan w:val="2"/>
            <w:vAlign w:val="center"/>
          </w:tcPr>
          <w:p>
            <w:pPr>
              <w:pStyle w:val="22"/>
              <w:widowControl w:val="0"/>
              <w:jc w:val="right"/>
              <w:rPr>
                <w:rFonts w:hint="eastAsia" w:ascii="仿宋" w:hAnsi="仿宋" w:eastAsia="仿宋" w:cs="仿宋"/>
              </w:rPr>
            </w:pPr>
            <w:r>
              <w:rPr>
                <w:rFonts w:hint="eastAsia" w:ascii="仿宋" w:hAnsi="仿宋" w:eastAsia="仿宋" w:cs="仿宋"/>
              </w:rPr>
              <w:t>公开02表</w:t>
            </w:r>
          </w:p>
        </w:tc>
      </w:tr>
      <w:tr>
        <w:tblPrEx>
          <w:tblCellMar>
            <w:top w:w="0" w:type="dxa"/>
            <w:left w:w="108" w:type="dxa"/>
            <w:bottom w:w="0" w:type="dxa"/>
            <w:right w:w="108" w:type="dxa"/>
          </w:tblCellMar>
        </w:tblPrEx>
        <w:trPr>
          <w:trHeight w:val="247" w:hRule="atLeast"/>
          <w:jc w:val="center"/>
        </w:trPr>
        <w:tc>
          <w:tcPr>
            <w:tcW w:w="13957" w:type="dxa"/>
            <w:gridSpan w:val="8"/>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江苏省公安厅（机关）</w:t>
            </w:r>
          </w:p>
        </w:tc>
        <w:tc>
          <w:tcPr>
            <w:tcW w:w="2703" w:type="dxa"/>
            <w:gridSpan w:val="2"/>
            <w:vAlign w:val="center"/>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其他收入</w:t>
            </w:r>
          </w:p>
        </w:tc>
      </w:tr>
      <w:tr>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728"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686"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375"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1716"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r>
              <w:rPr>
                <w:rFonts w:hint="eastAsia" w:ascii="仿宋" w:hAnsi="仿宋" w:eastAsia="仿宋" w:cs="仿宋"/>
                <w:sz w:val="20"/>
                <w:szCs w:val="20"/>
              </w:rPr>
              <w:t>132,006.10</w:t>
            </w:r>
          </w:p>
        </w:tc>
        <w:tc>
          <w:tcPr>
            <w:tcW w:w="1728"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r>
              <w:rPr>
                <w:rFonts w:hint="eastAsia" w:ascii="仿宋" w:hAnsi="仿宋" w:eastAsia="仿宋" w:cs="仿宋"/>
                <w:sz w:val="20"/>
                <w:szCs w:val="20"/>
              </w:rPr>
              <w:t>132,006.10</w:t>
            </w:r>
          </w:p>
        </w:tc>
        <w:tc>
          <w:tcPr>
            <w:tcW w:w="1686"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328"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20199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2019999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111,063.23</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111,063.23</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公安</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97,511.14</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97,511.14</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44,338.78</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44,338.78</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2040219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信息化建设</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7,709.74</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7,709.74</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2040220</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执法办案</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3,210.00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3,210.00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其他公安支出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42,252.62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42,252.62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13,552.09</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13,552.09</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2049999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13,552.09</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13,552.09</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3,660.26</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3,660.26</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3,660.26</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3,660.26</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2,165.50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2,165.50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1,082.75</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1,082.75</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412.01</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412.01</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2100410</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突发公共卫生事件应急处理</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14,884.79</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14,884.79</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14,884.79</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14,884.79</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3,904.53</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3,904.53</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10,980.26</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10,980.26</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22999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2299999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bl>
    <w:p>
      <w:pPr>
        <w:widowControl w:val="0"/>
        <w:suppressAutoHyphens/>
        <w:bidi w:val="0"/>
        <w:spacing w:before="66" w:after="0"/>
        <w:ind w:left="0" w:leftChars="0" w:right="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color w:val="000000"/>
          <w:sz w:val="22"/>
          <w:szCs w:val="22"/>
        </w:rPr>
        <w:t>注：</w:t>
      </w:r>
      <w:r>
        <w:rPr>
          <w:rFonts w:hint="eastAsia" w:ascii="仿宋" w:hAnsi="仿宋" w:eastAsia="仿宋" w:cs="仿宋"/>
          <w:b w:val="0"/>
          <w:bCs w:val="0"/>
          <w:sz w:val="22"/>
          <w:szCs w:val="22"/>
        </w:rPr>
        <w:t>本表反映本年度取得的各项收入情况。本表金额单位转换时可能存在尾数误差。</w:t>
      </w:r>
    </w:p>
    <w:p>
      <w:pPr>
        <w:widowControl w:val="0"/>
        <w:suppressAutoHyphens/>
        <w:bidi w:val="0"/>
        <w:spacing w:before="66" w:after="0"/>
        <w:ind w:left="57" w:right="0" w:firstLine="220" w:firstLineChars="100"/>
        <w:jc w:val="both"/>
        <w:rPr>
          <w:rFonts w:hint="eastAsia" w:ascii="仿宋" w:hAnsi="仿宋" w:eastAsia="仿宋" w:cs="仿宋"/>
          <w:b w:val="0"/>
          <w:bCs w:val="0"/>
          <w:sz w:val="22"/>
          <w:szCs w:val="22"/>
        </w:rPr>
        <w:sectPr>
          <w:footerReference r:id="rId8" w:type="default"/>
          <w:pgSz w:w="16838" w:h="11906" w:orient="landscape"/>
          <w:pgMar w:top="720" w:right="113" w:bottom="720" w:left="11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tblPrEx>
          <w:tblCellMar>
            <w:top w:w="55" w:type="dxa"/>
            <w:left w:w="55" w:type="dxa"/>
            <w:bottom w:w="55" w:type="dxa"/>
            <w:right w:w="55" w:type="dxa"/>
          </w:tblCellMar>
        </w:tblPrEx>
        <w:trPr>
          <w:trHeight w:val="532" w:hRule="atLeast"/>
        </w:trPr>
        <w:tc>
          <w:tcPr>
            <w:tcW w:w="15689" w:type="dxa"/>
            <w:gridSpan w:val="8"/>
            <w:vAlign w:val="center"/>
          </w:tcPr>
          <w:p>
            <w:pPr>
              <w:pStyle w:val="5"/>
              <w:widowControl w:val="0"/>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支出决算表</w:t>
            </w:r>
          </w:p>
        </w:tc>
      </w:tr>
      <w:tr>
        <w:tblPrEx>
          <w:tblCellMar>
            <w:top w:w="55" w:type="dxa"/>
            <w:left w:w="55" w:type="dxa"/>
            <w:bottom w:w="55" w:type="dxa"/>
            <w:right w:w="55" w:type="dxa"/>
          </w:tblCellMar>
        </w:tblPrEx>
        <w:trPr>
          <w:trHeight w:val="227" w:hRule="atLeast"/>
        </w:trPr>
        <w:tc>
          <w:tcPr>
            <w:tcW w:w="5115" w:type="dxa"/>
            <w:gridSpan w:val="2"/>
            <w:vAlign w:val="center"/>
          </w:tcPr>
          <w:p>
            <w:pPr>
              <w:pStyle w:val="22"/>
              <w:widowControl w:val="0"/>
              <w:jc w:val="center"/>
              <w:rPr>
                <w:rFonts w:hint="eastAsia" w:ascii="仿宋" w:hAnsi="仿宋" w:eastAsia="仿宋" w:cs="仿宋"/>
              </w:rPr>
            </w:pPr>
          </w:p>
        </w:tc>
        <w:tc>
          <w:tcPr>
            <w:tcW w:w="2164" w:type="dxa"/>
            <w:vAlign w:val="center"/>
          </w:tcPr>
          <w:p>
            <w:pPr>
              <w:pStyle w:val="22"/>
              <w:widowControl w:val="0"/>
              <w:spacing w:before="0" w:after="0"/>
              <w:ind w:firstLine="0"/>
              <w:jc w:val="center"/>
              <w:rPr>
                <w:rFonts w:hint="eastAsia" w:ascii="仿宋" w:hAnsi="仿宋" w:eastAsia="仿宋" w:cs="仿宋"/>
                <w:sz w:val="20"/>
              </w:rPr>
            </w:pPr>
          </w:p>
        </w:tc>
        <w:tc>
          <w:tcPr>
            <w:tcW w:w="1897" w:type="dxa"/>
            <w:vAlign w:val="center"/>
          </w:tcPr>
          <w:p>
            <w:pPr>
              <w:pStyle w:val="22"/>
              <w:widowControl w:val="0"/>
              <w:spacing w:before="0" w:after="0"/>
              <w:ind w:firstLine="0"/>
              <w:jc w:val="center"/>
              <w:rPr>
                <w:rFonts w:hint="eastAsia" w:ascii="仿宋" w:hAnsi="仿宋" w:eastAsia="仿宋" w:cs="仿宋"/>
                <w:sz w:val="20"/>
              </w:rPr>
            </w:pPr>
          </w:p>
        </w:tc>
        <w:tc>
          <w:tcPr>
            <w:tcW w:w="1739" w:type="dxa"/>
            <w:vAlign w:val="center"/>
          </w:tcPr>
          <w:p>
            <w:pPr>
              <w:pStyle w:val="22"/>
              <w:widowControl w:val="0"/>
              <w:spacing w:before="0" w:after="0"/>
              <w:ind w:firstLine="0"/>
              <w:jc w:val="center"/>
              <w:rPr>
                <w:rFonts w:hint="eastAsia" w:ascii="仿宋" w:hAnsi="仿宋" w:eastAsia="仿宋" w:cs="仿宋"/>
                <w:sz w:val="20"/>
              </w:rPr>
            </w:pPr>
          </w:p>
        </w:tc>
        <w:tc>
          <w:tcPr>
            <w:tcW w:w="1715" w:type="dxa"/>
            <w:vAlign w:val="center"/>
          </w:tcPr>
          <w:p>
            <w:pPr>
              <w:pStyle w:val="22"/>
              <w:widowControl w:val="0"/>
              <w:spacing w:before="0" w:after="0"/>
              <w:ind w:firstLine="0"/>
              <w:jc w:val="center"/>
              <w:rPr>
                <w:rFonts w:hint="eastAsia" w:ascii="仿宋" w:hAnsi="仿宋" w:eastAsia="仿宋" w:cs="仿宋"/>
                <w:sz w:val="20"/>
              </w:rPr>
            </w:pPr>
          </w:p>
        </w:tc>
        <w:tc>
          <w:tcPr>
            <w:tcW w:w="3059" w:type="dxa"/>
            <w:gridSpan w:val="2"/>
            <w:vAlign w:val="center"/>
          </w:tcPr>
          <w:p>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公开03表</w:t>
            </w:r>
          </w:p>
        </w:tc>
      </w:tr>
      <w:tr>
        <w:tblPrEx>
          <w:tblCellMar>
            <w:top w:w="55" w:type="dxa"/>
            <w:left w:w="55" w:type="dxa"/>
            <w:bottom w:w="55" w:type="dxa"/>
            <w:right w:w="55" w:type="dxa"/>
          </w:tblCellMar>
        </w:tblPrEx>
        <w:trPr>
          <w:trHeight w:val="90" w:hRule="atLeast"/>
        </w:trPr>
        <w:tc>
          <w:tcPr>
            <w:tcW w:w="12630" w:type="dxa"/>
            <w:gridSpan w:val="6"/>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江苏省公安厅（机关）</w:t>
            </w:r>
          </w:p>
        </w:tc>
        <w:tc>
          <w:tcPr>
            <w:tcW w:w="3059" w:type="dxa"/>
            <w:gridSpan w:val="2"/>
            <w:vAlign w:val="center"/>
          </w:tcPr>
          <w:p>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kern w:val="0"/>
                <w:sz w:val="22"/>
                <w:szCs w:val="22"/>
              </w:rPr>
              <w:t>项目</w:t>
            </w:r>
          </w:p>
        </w:tc>
        <w:tc>
          <w:tcPr>
            <w:tcW w:w="2164"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本年支出合计</w:t>
            </w:r>
          </w:p>
        </w:tc>
        <w:tc>
          <w:tcPr>
            <w:tcW w:w="1897"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39"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715"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3"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kern w:val="0"/>
                <w:sz w:val="22"/>
                <w:szCs w:val="22"/>
              </w:rPr>
            </w:pPr>
            <w:r>
              <w:rPr>
                <w:rFonts w:hint="eastAsia" w:ascii="仿宋" w:hAnsi="仿宋" w:eastAsia="仿宋" w:cs="仿宋"/>
                <w:kern w:val="0"/>
                <w:sz w:val="22"/>
                <w:szCs w:val="22"/>
              </w:rPr>
              <w:t>功能分类</w:t>
            </w:r>
          </w:p>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927" w:type="dxa"/>
            <w:tcBorders>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科目名称</w:t>
            </w:r>
          </w:p>
        </w:tc>
        <w:tc>
          <w:tcPr>
            <w:tcW w:w="2164"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897"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739"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715"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633"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426" w:type="dxa"/>
            <w:vMerge w:val="continue"/>
            <w:tcBorders>
              <w:left w:val="single" w:color="000000" w:sz="4" w:space="0"/>
              <w:bottom w:val="single" w:color="000000" w:sz="4" w:space="0"/>
              <w:right w:val="single" w:color="000000" w:sz="4" w:space="0"/>
            </w:tcBorders>
          </w:tcPr>
          <w:p>
            <w:pPr>
              <w:widowControl w:val="0"/>
              <w:spacing w:before="0" w:after="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2164"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129,240.65</w:t>
            </w:r>
          </w:p>
        </w:tc>
        <w:tc>
          <w:tcPr>
            <w:tcW w:w="1897"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62,704.65</w:t>
            </w:r>
          </w:p>
        </w:tc>
        <w:tc>
          <w:tcPr>
            <w:tcW w:w="1739"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66,536.00</w:t>
            </w:r>
          </w:p>
        </w:tc>
        <w:tc>
          <w:tcPr>
            <w:tcW w:w="1715"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20199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其他一般公共服务支出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2019999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其他一般公共服务支出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公共安全支出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108,343.14</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44,159.60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64,183.54</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公安</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95,444.31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44,159.60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51,284.71</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2040201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44,159.60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44,159.60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2040219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信息化建设</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7,709.74</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7,709.74</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2040220</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执法办案</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2,742.16</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2,742.16</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其他公安支出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40,832.81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40,832.81</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其他公共安全支出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12,898.83</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12,898.83</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2049999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其他公共安全支出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12,898.83</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12,898.83</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3,660.26</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3,660.26</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3,660.26</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3,660.26</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2080505</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2,165.50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2,165.50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2080506</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1,082.75</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1,082.75</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412.01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412.01</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210</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卫生健康支出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21004</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2100410</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突发公共卫生事件应急处理</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住房保障支出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14,884.79</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14,884.79</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14,884.79</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14,884.79</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3,904.53</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3,904.53</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10,980.26</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10,980.26</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其他支出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1,092.64</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1,092.64</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22999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1,092.64</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1,092.64</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2299999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1,092.64</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1,092.64</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bl>
    <w:p>
      <w:pPr>
        <w:widowControl w:val="0"/>
        <w:suppressAutoHyphens/>
        <w:bidi w:val="0"/>
        <w:spacing w:before="59" w:after="0"/>
        <w:ind w:left="0" w:leftChars="0" w:right="0" w:firstLine="0" w:firstLineChars="0"/>
        <w:jc w:val="left"/>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注：本表反映本年度各项支出情况。本表金额单位转换时可能存在尾数误差。</w:t>
      </w:r>
    </w:p>
    <w:p>
      <w:pPr>
        <w:widowControl w:val="0"/>
        <w:suppressAutoHyphens/>
        <w:bidi w:val="0"/>
        <w:spacing w:before="59" w:after="0"/>
        <w:ind w:left="57" w:right="0" w:firstLine="0"/>
        <w:jc w:val="left"/>
        <w:rPr>
          <w:rFonts w:hint="eastAsia" w:ascii="仿宋" w:hAnsi="仿宋" w:eastAsia="仿宋" w:cs="仿宋"/>
          <w:b w:val="0"/>
          <w:bCs w:val="0"/>
          <w:sz w:val="22"/>
          <w:szCs w:val="22"/>
        </w:rPr>
        <w:sectPr>
          <w:footerReference r:id="rId9" w:type="default"/>
          <w:pgSz w:w="16838" w:h="11906" w:orient="landscape"/>
          <w:pgMar w:top="720" w:right="567" w:bottom="720" w:left="56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tblPrEx>
          <w:tblCellMar>
            <w:top w:w="55" w:type="dxa"/>
            <w:left w:w="55" w:type="dxa"/>
            <w:bottom w:w="55" w:type="dxa"/>
            <w:right w:w="55" w:type="dxa"/>
          </w:tblCellMar>
        </w:tblPrEx>
        <w:trPr>
          <w:trHeight w:val="319" w:hRule="atLeast"/>
        </w:trPr>
        <w:tc>
          <w:tcPr>
            <w:tcW w:w="15372" w:type="dxa"/>
            <w:gridSpan w:val="10"/>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财政拨款收入支出决算总表</w:t>
            </w:r>
          </w:p>
        </w:tc>
      </w:tr>
      <w:tr>
        <w:tblPrEx>
          <w:tblCellMar>
            <w:top w:w="55" w:type="dxa"/>
            <w:left w:w="55" w:type="dxa"/>
            <w:bottom w:w="55" w:type="dxa"/>
            <w:right w:w="55" w:type="dxa"/>
          </w:tblCellMar>
        </w:tblPrEx>
        <w:trPr>
          <w:trHeight w:val="319" w:hRule="atLeast"/>
        </w:trPr>
        <w:tc>
          <w:tcPr>
            <w:tcW w:w="5562" w:type="dxa"/>
            <w:gridSpan w:val="2"/>
          </w:tcPr>
          <w:p>
            <w:pPr>
              <w:pStyle w:val="22"/>
              <w:widowControl w:val="0"/>
              <w:rPr>
                <w:rFonts w:hint="eastAsia" w:ascii="仿宋" w:hAnsi="仿宋" w:eastAsia="仿宋" w:cs="仿宋"/>
                <w:sz w:val="20"/>
              </w:rPr>
            </w:pPr>
          </w:p>
        </w:tc>
        <w:tc>
          <w:tcPr>
            <w:tcW w:w="847" w:type="dxa"/>
          </w:tcPr>
          <w:p>
            <w:pPr>
              <w:pStyle w:val="22"/>
              <w:widowControl w:val="0"/>
              <w:rPr>
                <w:rFonts w:hint="eastAsia" w:ascii="仿宋" w:hAnsi="仿宋" w:eastAsia="仿宋" w:cs="仿宋"/>
                <w:sz w:val="20"/>
              </w:rPr>
            </w:pPr>
          </w:p>
        </w:tc>
        <w:tc>
          <w:tcPr>
            <w:tcW w:w="1913" w:type="dxa"/>
          </w:tcPr>
          <w:p>
            <w:pPr>
              <w:pStyle w:val="22"/>
              <w:widowControl w:val="0"/>
              <w:rPr>
                <w:rFonts w:hint="eastAsia" w:ascii="仿宋" w:hAnsi="仿宋" w:eastAsia="仿宋" w:cs="仿宋"/>
                <w:sz w:val="20"/>
              </w:rPr>
            </w:pPr>
          </w:p>
        </w:tc>
        <w:tc>
          <w:tcPr>
            <w:tcW w:w="2635" w:type="dxa"/>
            <w:gridSpan w:val="2"/>
          </w:tcPr>
          <w:p>
            <w:pPr>
              <w:pStyle w:val="22"/>
              <w:widowControl w:val="0"/>
              <w:rPr>
                <w:rFonts w:hint="eastAsia" w:ascii="仿宋" w:hAnsi="仿宋" w:eastAsia="仿宋" w:cs="仿宋"/>
                <w:sz w:val="20"/>
              </w:rPr>
            </w:pPr>
          </w:p>
        </w:tc>
        <w:tc>
          <w:tcPr>
            <w:tcW w:w="1194" w:type="dxa"/>
          </w:tcPr>
          <w:p>
            <w:pPr>
              <w:pStyle w:val="22"/>
              <w:widowControl w:val="0"/>
              <w:rPr>
                <w:rFonts w:hint="eastAsia" w:ascii="仿宋" w:hAnsi="仿宋" w:eastAsia="仿宋" w:cs="仿宋"/>
                <w:sz w:val="20"/>
              </w:rPr>
            </w:pPr>
          </w:p>
        </w:tc>
        <w:tc>
          <w:tcPr>
            <w:tcW w:w="3221" w:type="dxa"/>
            <w:gridSpan w:val="3"/>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公开04表</w:t>
            </w:r>
          </w:p>
        </w:tc>
      </w:tr>
      <w:tr>
        <w:tblPrEx>
          <w:tblCellMar>
            <w:top w:w="55" w:type="dxa"/>
            <w:left w:w="55" w:type="dxa"/>
            <w:bottom w:w="55" w:type="dxa"/>
            <w:right w:w="55" w:type="dxa"/>
          </w:tblCellMar>
        </w:tblPrEx>
        <w:trPr>
          <w:trHeight w:val="319" w:hRule="atLeast"/>
        </w:trPr>
        <w:tc>
          <w:tcPr>
            <w:tcW w:w="12151" w:type="dxa"/>
            <w:gridSpan w:val="7"/>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sz w:val="22"/>
                <w:szCs w:val="22"/>
              </w:rPr>
              <w:t>江苏省公安厅（机关）</w:t>
            </w:r>
          </w:p>
        </w:tc>
        <w:tc>
          <w:tcPr>
            <w:tcW w:w="3221" w:type="dxa"/>
            <w:gridSpan w:val="3"/>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收</w:t>
            </w:r>
            <w:r>
              <w:rPr>
                <w:rFonts w:hint="eastAsia" w:ascii="仿宋" w:hAnsi="仿宋" w:eastAsia="仿宋" w:cs="仿宋"/>
                <w:sz w:val="22"/>
                <w:szCs w:val="22"/>
              </w:rPr>
              <w:tab/>
            </w:r>
            <w:r>
              <w:rPr>
                <w:rFonts w:hint="eastAsia" w:ascii="仿宋" w:hAnsi="仿宋" w:eastAsia="仿宋" w:cs="仿宋"/>
                <w:sz w:val="22"/>
                <w:szCs w:val="22"/>
              </w:rPr>
              <w:t>入</w:t>
            </w:r>
          </w:p>
        </w:tc>
        <w:tc>
          <w:tcPr>
            <w:tcW w:w="9810" w:type="dxa"/>
            <w:gridSpan w:val="8"/>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支</w:t>
            </w:r>
            <w:r>
              <w:rPr>
                <w:rFonts w:hint="eastAsia" w:ascii="仿宋" w:hAnsi="仿宋" w:eastAsia="仿宋" w:cs="仿宋"/>
                <w:sz w:val="22"/>
                <w:szCs w:val="22"/>
              </w:rPr>
              <w:tab/>
            </w:r>
            <w:r>
              <w:rPr>
                <w:rFonts w:hint="eastAsia" w:ascii="仿宋" w:hAnsi="仿宋" w:eastAsia="仿宋" w:cs="仿宋"/>
                <w:sz w:val="22"/>
                <w:szCs w:val="22"/>
              </w:rPr>
              <w:t>出</w:t>
            </w:r>
          </w:p>
        </w:tc>
      </w:tr>
      <w:tr>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1837"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c>
          <w:tcPr>
            <w:tcW w:w="3667" w:type="dxa"/>
            <w:gridSpan w:val="3"/>
            <w:vMerge w:val="restart"/>
            <w:tcBorders>
              <w:left w:val="single" w:color="000000" w:sz="4" w:space="0"/>
              <w:bottom w:val="single" w:color="000000" w:sz="4" w:space="0"/>
            </w:tcBorders>
            <w:vAlign w:val="center"/>
          </w:tcPr>
          <w:p>
            <w:pPr>
              <w:widowControl w:val="0"/>
              <w:jc w:val="center"/>
              <w:rPr>
                <w:rFonts w:hint="eastAsia" w:ascii="仿宋" w:hAnsi="仿宋" w:eastAsia="仿宋" w:cs="仿宋"/>
                <w:sz w:val="22"/>
                <w:szCs w:val="22"/>
              </w:rPr>
            </w:pPr>
            <w:r>
              <w:rPr>
                <w:rFonts w:hint="eastAsia" w:ascii="仿宋" w:hAnsi="仿宋" w:eastAsia="仿宋" w:cs="仿宋"/>
                <w:sz w:val="22"/>
                <w:szCs w:val="22"/>
              </w:rPr>
              <w:t>按功能分类</w:t>
            </w:r>
          </w:p>
        </w:tc>
        <w:tc>
          <w:tcPr>
            <w:tcW w:w="6143" w:type="dxa"/>
            <w:gridSpan w:val="5"/>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r>
      <w:tr>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1837" w:type="dxa"/>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3667" w:type="dxa"/>
            <w:gridSpan w:val="3"/>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小计</w:t>
            </w:r>
          </w:p>
        </w:tc>
        <w:tc>
          <w:tcPr>
            <w:tcW w:w="1415"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一般公共预算财政拨款</w:t>
            </w:r>
          </w:p>
        </w:tc>
        <w:tc>
          <w:tcPr>
            <w:tcW w:w="150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政府性基金预算财政拨款</w:t>
            </w:r>
          </w:p>
        </w:tc>
        <w:tc>
          <w:tcPr>
            <w:tcW w:w="1500"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国有资本经营预算财政拨款</w:t>
            </w: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132,006.10</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108,158.04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108,158.04</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3,660.26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3,660.26</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14,884.79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14,884.79</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1,092.64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1,092.64</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本年收入合计</w:t>
            </w:r>
          </w:p>
        </w:tc>
        <w:tc>
          <w:tcPr>
            <w:tcW w:w="1837"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132,006.10</w:t>
            </w:r>
          </w:p>
        </w:tc>
        <w:tc>
          <w:tcPr>
            <w:tcW w:w="3667" w:type="dxa"/>
            <w:gridSpan w:val="3"/>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本年支出合计</w:t>
            </w:r>
          </w:p>
        </w:tc>
        <w:tc>
          <w:tcPr>
            <w:tcW w:w="1728"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129,055.56</w:t>
            </w:r>
          </w:p>
        </w:tc>
        <w:tc>
          <w:tcPr>
            <w:tcW w:w="1415" w:type="dxa"/>
            <w:gridSpan w:val="2"/>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129,055.56</w:t>
            </w:r>
          </w:p>
        </w:tc>
        <w:tc>
          <w:tcPr>
            <w:tcW w:w="1500"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年初财政拨款结转和结余</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3,572.76</w:t>
            </w: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年末财政拨款结转和结余</w:t>
            </w: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6,523.31</w:t>
            </w: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6,523.31</w:t>
            </w: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3,572.76</w:t>
            </w: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837"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135,578.86</w:t>
            </w:r>
          </w:p>
        </w:tc>
        <w:tc>
          <w:tcPr>
            <w:tcW w:w="3667" w:type="dxa"/>
            <w:gridSpan w:val="3"/>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728"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135,578.86</w:t>
            </w:r>
          </w:p>
        </w:tc>
        <w:tc>
          <w:tcPr>
            <w:tcW w:w="1415" w:type="dxa"/>
            <w:gridSpan w:val="2"/>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135,578.86</w:t>
            </w:r>
          </w:p>
        </w:tc>
        <w:tc>
          <w:tcPr>
            <w:tcW w:w="150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bl>
    <w:p>
      <w:pPr>
        <w:ind w:left="0" w:leftChars="0" w:firstLine="0" w:firstLineChars="0"/>
        <w:jc w:val="both"/>
        <w:rPr>
          <w:rFonts w:hint="eastAsia" w:ascii="仿宋" w:hAnsi="仿宋" w:eastAsia="仿宋" w:cs="仿宋"/>
          <w:b w:val="0"/>
          <w:bCs w:val="0"/>
        </w:rPr>
      </w:pPr>
      <w:r>
        <w:rPr>
          <w:rFonts w:hint="eastAsia" w:ascii="仿宋" w:hAnsi="仿宋" w:eastAsia="仿宋" w:cs="仿宋"/>
          <w:b w:val="0"/>
          <w:bCs w:val="0"/>
          <w:lang w:val="en-US" w:eastAsia="zh-CN"/>
        </w:rPr>
        <w:t>注：</w:t>
      </w:r>
      <w:r>
        <w:rPr>
          <w:rFonts w:hint="eastAsia" w:ascii="仿宋" w:hAnsi="仿宋" w:eastAsia="仿宋" w:cs="仿宋"/>
          <w:b w:val="0"/>
          <w:bCs w:val="0"/>
        </w:rPr>
        <w:t>本表反映本年度一般公共预算财政拨款、政府性基金预算财政拨款和国有资本经营预算财政拨款的总收支和年末结转结余情况。本表金额单位转换时可能存在尾数误差。</w:t>
      </w:r>
    </w:p>
    <w:p>
      <w:pPr>
        <w:jc w:val="both"/>
        <w:rPr>
          <w:rFonts w:hint="eastAsia" w:ascii="仿宋" w:hAnsi="仿宋" w:eastAsia="仿宋" w:cs="仿宋"/>
          <w:b w:val="0"/>
          <w:bCs w:val="0"/>
        </w:rPr>
        <w:sectPr>
          <w:footerReference r:id="rId10"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tblPrEx>
          <w:tblCellMar>
            <w:top w:w="55" w:type="dxa"/>
            <w:left w:w="55" w:type="dxa"/>
            <w:bottom w:w="55" w:type="dxa"/>
            <w:right w:w="55" w:type="dxa"/>
          </w:tblCellMar>
        </w:tblPrEx>
        <w:trPr>
          <w:trHeight w:val="321" w:hRule="atLeast"/>
        </w:trPr>
        <w:tc>
          <w:tcPr>
            <w:tcW w:w="15417"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财政拨款支出决算表（功能科目）</w:t>
            </w:r>
          </w:p>
        </w:tc>
      </w:tr>
      <w:tr>
        <w:tblPrEx>
          <w:tblCellMar>
            <w:top w:w="55" w:type="dxa"/>
            <w:left w:w="55" w:type="dxa"/>
            <w:bottom w:w="55" w:type="dxa"/>
            <w:right w:w="55" w:type="dxa"/>
          </w:tblCellMar>
        </w:tblPrEx>
        <w:trPr>
          <w:trHeight w:val="321" w:hRule="atLeast"/>
        </w:trPr>
        <w:tc>
          <w:tcPr>
            <w:tcW w:w="6300" w:type="dxa"/>
            <w:gridSpan w:val="2"/>
          </w:tcPr>
          <w:p>
            <w:pPr>
              <w:pStyle w:val="22"/>
              <w:widowControl w:val="0"/>
              <w:rPr>
                <w:rFonts w:hint="eastAsia" w:ascii="仿宋" w:hAnsi="仿宋" w:eastAsia="仿宋" w:cs="仿宋"/>
                <w:sz w:val="20"/>
              </w:rPr>
            </w:pPr>
          </w:p>
        </w:tc>
        <w:tc>
          <w:tcPr>
            <w:tcW w:w="3184" w:type="dxa"/>
          </w:tcPr>
          <w:p>
            <w:pPr>
              <w:pStyle w:val="22"/>
              <w:widowControl w:val="0"/>
              <w:rPr>
                <w:rFonts w:hint="eastAsia" w:ascii="仿宋" w:hAnsi="仿宋" w:eastAsia="仿宋" w:cs="仿宋"/>
                <w:sz w:val="27"/>
              </w:rPr>
            </w:pPr>
          </w:p>
        </w:tc>
        <w:tc>
          <w:tcPr>
            <w:tcW w:w="5933" w:type="dxa"/>
            <w:gridSpan w:val="2"/>
            <w:vAlign w:val="center"/>
          </w:tcPr>
          <w:p>
            <w:pPr>
              <w:pStyle w:val="22"/>
              <w:widowControl w:val="0"/>
              <w:jc w:val="right"/>
              <w:rPr>
                <w:rFonts w:hint="eastAsia" w:ascii="仿宋" w:hAnsi="仿宋" w:eastAsia="仿宋" w:cs="仿宋"/>
                <w:sz w:val="27"/>
              </w:rPr>
            </w:pPr>
            <w:r>
              <w:rPr>
                <w:rFonts w:hint="eastAsia" w:ascii="仿宋" w:hAnsi="仿宋" w:eastAsia="仿宋" w:cs="仿宋"/>
              </w:rPr>
              <w:t>公开05表</w:t>
            </w:r>
          </w:p>
        </w:tc>
      </w:tr>
      <w:tr>
        <w:tblPrEx>
          <w:tblCellMar>
            <w:top w:w="55" w:type="dxa"/>
            <w:left w:w="55" w:type="dxa"/>
            <w:bottom w:w="55" w:type="dxa"/>
            <w:right w:w="55" w:type="dxa"/>
          </w:tblCellMar>
        </w:tblPrEx>
        <w:trPr>
          <w:trHeight w:val="288" w:hRule="atLeast"/>
        </w:trPr>
        <w:tc>
          <w:tcPr>
            <w:tcW w:w="6300" w:type="dxa"/>
            <w:gridSpan w:val="2"/>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江苏省公安厅（机关）</w:t>
            </w:r>
          </w:p>
        </w:tc>
        <w:tc>
          <w:tcPr>
            <w:tcW w:w="3184" w:type="dxa"/>
          </w:tcPr>
          <w:p>
            <w:pPr>
              <w:pStyle w:val="22"/>
              <w:widowControl w:val="0"/>
              <w:rPr>
                <w:rFonts w:hint="eastAsia" w:ascii="仿宋" w:hAnsi="仿宋" w:eastAsia="仿宋" w:cs="仿宋"/>
                <w:sz w:val="27"/>
              </w:rPr>
            </w:pPr>
          </w:p>
        </w:tc>
        <w:tc>
          <w:tcPr>
            <w:tcW w:w="2778" w:type="dxa"/>
            <w:vAlign w:val="center"/>
          </w:tcPr>
          <w:p>
            <w:pPr>
              <w:pStyle w:val="22"/>
              <w:widowControl w:val="0"/>
              <w:jc w:val="right"/>
              <w:rPr>
                <w:rFonts w:hint="eastAsia" w:ascii="仿宋" w:hAnsi="仿宋" w:eastAsia="仿宋" w:cs="仿宋"/>
                <w:sz w:val="27"/>
              </w:rPr>
            </w:pPr>
          </w:p>
        </w:tc>
        <w:tc>
          <w:tcPr>
            <w:tcW w:w="3155"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184"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本年支出合计</w:t>
            </w:r>
          </w:p>
        </w:tc>
        <w:tc>
          <w:tcPr>
            <w:tcW w:w="2778"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功能分类</w:t>
            </w:r>
          </w:p>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5022"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184"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2778"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3155"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栏次</w:t>
            </w:r>
          </w:p>
        </w:tc>
        <w:tc>
          <w:tcPr>
            <w:tcW w:w="3184"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1</w:t>
            </w:r>
          </w:p>
        </w:tc>
        <w:tc>
          <w:tcPr>
            <w:tcW w:w="2778"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2</w:t>
            </w:r>
          </w:p>
        </w:tc>
        <w:tc>
          <w:tcPr>
            <w:tcW w:w="3155" w:type="dxa"/>
            <w:tcBorders>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3</w:t>
            </w:r>
          </w:p>
        </w:tc>
      </w:tr>
      <w:tr>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184"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129,055.56</w:t>
            </w:r>
          </w:p>
        </w:tc>
        <w:tc>
          <w:tcPr>
            <w:tcW w:w="2778"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rPr>
              <w:t>62,704.65</w:t>
            </w:r>
          </w:p>
        </w:tc>
        <w:tc>
          <w:tcPr>
            <w:tcW w:w="3155"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66,350.91</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20199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2019999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108,158.05</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44,159.60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63,998.45</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公安</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95,259.22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44,159.60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51,099.62</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44,159.60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44,159.60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2040219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信息化建设</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7,709.74</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7,709.74</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2040220</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执法办案</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2,742.16</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2,742.16</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其他公安支出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40,647.72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40,647.72</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12,898.83</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12,898.83</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2049999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12,898.83</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12,898.83</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3,660.26</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3,660.26</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3,660.26</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3,660.26</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2,165.50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2,165.50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1,082.75</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1,082.75</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412.01</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412.01</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2100410</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突发公共卫生事件应急处理</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14,884.79</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14,884.79</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14,884.79</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14,884.79</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3,904.53</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3,904.53</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10,980.26</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10,980.26</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1,092.64</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1,092.64</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22999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1,092.64</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1,092.64</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2299999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1,092.64</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1,092.64</w:t>
            </w:r>
          </w:p>
        </w:tc>
      </w:tr>
    </w:tbl>
    <w:p>
      <w:pPr>
        <w:widowControl w:val="0"/>
        <w:tabs>
          <w:tab w:val="left" w:pos="0"/>
        </w:tabs>
        <w:suppressAutoHyphens/>
        <w:bidi w:val="0"/>
        <w:spacing w:before="0" w:after="0"/>
        <w:ind w:left="0" w:leftChars="0" w:right="0" w:firstLine="0" w:firstLineChars="0"/>
        <w:jc w:val="both"/>
        <w:rPr>
          <w:rFonts w:hint="eastAsia" w:ascii="仿宋" w:hAnsi="仿宋" w:eastAsia="仿宋" w:cs="仿宋"/>
          <w:b w:val="0"/>
          <w:bCs w:val="0"/>
        </w:rPr>
      </w:pPr>
      <w:r>
        <w:rPr>
          <w:rFonts w:hint="eastAsia" w:ascii="仿宋" w:hAnsi="仿宋" w:eastAsia="仿宋" w:cs="仿宋"/>
          <w:b w:val="0"/>
          <w:bCs w:val="0"/>
        </w:rPr>
        <w:t>注：本表反映本年度一般公共预算财政拨款、政府性基金预算财政拨款和国有资本经营预算财政拨款支出情况。本表金额单位转换时可能存在尾数误差。</w:t>
      </w:r>
    </w:p>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val="0"/>
          <w:bCs w:val="0"/>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tblPrEx>
          <w:tblCellMar>
            <w:top w:w="55" w:type="dxa"/>
            <w:left w:w="55" w:type="dxa"/>
            <w:bottom w:w="55" w:type="dxa"/>
            <w:right w:w="55" w:type="dxa"/>
          </w:tblCellMar>
        </w:tblPrEx>
        <w:trPr>
          <w:trHeight w:val="319" w:hRule="atLeast"/>
        </w:trPr>
        <w:tc>
          <w:tcPr>
            <w:tcW w:w="10515"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财政拨款基本支出决算表（经济科目）</w:t>
            </w:r>
          </w:p>
        </w:tc>
      </w:tr>
      <w:tr>
        <w:tblPrEx>
          <w:tblCellMar>
            <w:top w:w="55" w:type="dxa"/>
            <w:left w:w="55" w:type="dxa"/>
            <w:bottom w:w="55" w:type="dxa"/>
            <w:right w:w="55" w:type="dxa"/>
          </w:tblCellMar>
        </w:tblPrEx>
        <w:trPr>
          <w:trHeight w:val="319" w:hRule="atLeast"/>
        </w:trPr>
        <w:tc>
          <w:tcPr>
            <w:tcW w:w="4532" w:type="dxa"/>
            <w:gridSpan w:val="2"/>
          </w:tcPr>
          <w:p>
            <w:pPr>
              <w:pStyle w:val="22"/>
              <w:widowControl w:val="0"/>
              <w:rPr>
                <w:rFonts w:hint="eastAsia" w:ascii="仿宋" w:hAnsi="仿宋" w:eastAsia="仿宋" w:cs="仿宋"/>
                <w:sz w:val="20"/>
              </w:rPr>
            </w:pPr>
          </w:p>
        </w:tc>
        <w:tc>
          <w:tcPr>
            <w:tcW w:w="2047" w:type="dxa"/>
          </w:tcPr>
          <w:p>
            <w:pPr>
              <w:pStyle w:val="22"/>
              <w:widowControl w:val="0"/>
              <w:rPr>
                <w:rFonts w:hint="eastAsia" w:ascii="仿宋" w:hAnsi="仿宋" w:eastAsia="仿宋" w:cs="仿宋"/>
                <w:sz w:val="20"/>
              </w:rPr>
            </w:pPr>
          </w:p>
        </w:tc>
        <w:tc>
          <w:tcPr>
            <w:tcW w:w="2040" w:type="dxa"/>
          </w:tcPr>
          <w:p>
            <w:pPr>
              <w:pStyle w:val="22"/>
              <w:widowControl w:val="0"/>
              <w:rPr>
                <w:rFonts w:hint="eastAsia" w:ascii="仿宋" w:hAnsi="仿宋" w:eastAsia="仿宋" w:cs="仿宋"/>
                <w:sz w:val="20"/>
              </w:rPr>
            </w:pPr>
          </w:p>
        </w:tc>
        <w:tc>
          <w:tcPr>
            <w:tcW w:w="1896"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公开06表</w:t>
            </w:r>
          </w:p>
        </w:tc>
      </w:tr>
      <w:tr>
        <w:tblPrEx>
          <w:tblCellMar>
            <w:top w:w="55" w:type="dxa"/>
            <w:left w:w="55" w:type="dxa"/>
            <w:bottom w:w="55" w:type="dxa"/>
            <w:right w:w="55" w:type="dxa"/>
          </w:tblCellMar>
        </w:tblPrEx>
        <w:trPr>
          <w:trHeight w:val="319" w:hRule="atLeast"/>
        </w:trPr>
        <w:tc>
          <w:tcPr>
            <w:tcW w:w="8619"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sz w:val="22"/>
                <w:szCs w:val="22"/>
              </w:rPr>
              <w:t>江苏省公安厅（机关）</w:t>
            </w:r>
          </w:p>
        </w:tc>
        <w:tc>
          <w:tcPr>
            <w:tcW w:w="1896"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财政拨款基本支出</w:t>
            </w:r>
          </w:p>
        </w:tc>
      </w:tr>
      <w:tr>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62,704.65</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54,308.28</w:t>
            </w:r>
          </w:p>
        </w:tc>
        <w:tc>
          <w:tcPr>
            <w:tcW w:w="1896"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8,396.37</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47,750.49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47,750.49</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5,771.77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5,771.77</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23,803.52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23,803.52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9,984.00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9,984.00</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278.90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278.90</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1,791.09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1,791.09</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1,082.75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1,082.75</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188.69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188.69</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3,906.37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3,906.37</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943.40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943.40</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8,362.55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8,362.55</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574.69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574.69</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311.98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311.98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57.51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57.51</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1,408.58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1,408.58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55.46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55.46</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1,251.00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1,251.00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608.00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608.00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50.03</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8.79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8.79</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1.83</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24.63</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508.96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508.96</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789.94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789.94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336.86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336.86</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1,030.76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1,030.76</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1,343.28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1,343.28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6,557.79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6,557.79</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700.32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700.32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5,657.67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5,657.67</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16.15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16.15</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61.74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61.74</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6.30</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115.60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115.60</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33.82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33.82</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2.72</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20.71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20.71</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widowControl w:val="0"/>
        <w:tabs>
          <w:tab w:val="left" w:pos="660"/>
          <w:tab w:val="left" w:pos="10780"/>
        </w:tabs>
        <w:suppressAutoHyphens/>
        <w:bidi w:val="0"/>
        <w:spacing w:before="25" w:after="0" w:line="290" w:lineRule="auto"/>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注：本表反映本年度一般公共预算财政拨款、政府性基金预算财政拨款和国有资本经营预算财政拨款基本支出情况。本表金额单位转换时可能存在尾数误差。</w:t>
      </w:r>
    </w:p>
    <w:p>
      <w:pPr>
        <w:widowControl w:val="0"/>
        <w:numPr>
          <w:ilvl w:val="0"/>
          <w:numId w:val="0"/>
        </w:numPr>
        <w:suppressAutoHyphens/>
        <w:bidi w:val="0"/>
        <w:spacing w:before="0" w:after="0" w:line="255" w:lineRule="exact"/>
        <w:jc w:val="both"/>
        <w:rPr>
          <w:rFonts w:hint="eastAsia" w:ascii="仿宋" w:hAnsi="仿宋" w:eastAsia="仿宋" w:cs="仿宋"/>
          <w:b w:val="0"/>
          <w:bCs w:val="0"/>
          <w:sz w:val="22"/>
          <w:szCs w:val="22"/>
        </w:rPr>
        <w:sectPr>
          <w:footerReference r:id="rId12"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tblPrEx>
          <w:tblCellMar>
            <w:top w:w="55" w:type="dxa"/>
            <w:left w:w="55" w:type="dxa"/>
            <w:bottom w:w="55" w:type="dxa"/>
            <w:right w:w="55" w:type="dxa"/>
          </w:tblCellMar>
        </w:tblPrEx>
        <w:trPr>
          <w:trHeight w:val="560" w:hRule="atLeast"/>
        </w:trPr>
        <w:tc>
          <w:tcPr>
            <w:tcW w:w="10446"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一般公共预算支出决算表（功能科目）</w:t>
            </w:r>
          </w:p>
        </w:tc>
      </w:tr>
      <w:tr>
        <w:tblPrEx>
          <w:tblCellMar>
            <w:top w:w="55" w:type="dxa"/>
            <w:left w:w="55" w:type="dxa"/>
            <w:bottom w:w="55" w:type="dxa"/>
            <w:right w:w="55" w:type="dxa"/>
          </w:tblCellMar>
        </w:tblPrEx>
        <w:trPr>
          <w:trHeight w:val="147" w:hRule="atLeast"/>
        </w:trPr>
        <w:tc>
          <w:tcPr>
            <w:tcW w:w="5466" w:type="dxa"/>
            <w:gridSpan w:val="2"/>
          </w:tcPr>
          <w:p>
            <w:pPr>
              <w:pStyle w:val="22"/>
              <w:widowControl w:val="0"/>
              <w:rPr>
                <w:rFonts w:hint="eastAsia" w:ascii="仿宋" w:hAnsi="仿宋" w:eastAsia="仿宋" w:cs="仿宋"/>
                <w:sz w:val="20"/>
              </w:rPr>
            </w:pPr>
          </w:p>
        </w:tc>
        <w:tc>
          <w:tcPr>
            <w:tcW w:w="1969" w:type="dxa"/>
          </w:tcPr>
          <w:p>
            <w:pPr>
              <w:pStyle w:val="22"/>
              <w:widowControl w:val="0"/>
              <w:rPr>
                <w:rFonts w:hint="eastAsia" w:ascii="仿宋" w:hAnsi="仿宋" w:eastAsia="仿宋" w:cs="仿宋"/>
                <w:sz w:val="20"/>
              </w:rPr>
            </w:pPr>
          </w:p>
        </w:tc>
        <w:tc>
          <w:tcPr>
            <w:tcW w:w="1499" w:type="dxa"/>
          </w:tcPr>
          <w:p>
            <w:pPr>
              <w:pStyle w:val="22"/>
              <w:widowControl w:val="0"/>
              <w:rPr>
                <w:rFonts w:hint="eastAsia" w:ascii="仿宋" w:hAnsi="仿宋" w:eastAsia="仿宋" w:cs="仿宋"/>
                <w:sz w:val="20"/>
              </w:rPr>
            </w:pPr>
          </w:p>
        </w:tc>
        <w:tc>
          <w:tcPr>
            <w:tcW w:w="1512"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公开07表</w:t>
            </w:r>
          </w:p>
        </w:tc>
      </w:tr>
      <w:tr>
        <w:tblPrEx>
          <w:tblCellMar>
            <w:top w:w="55" w:type="dxa"/>
            <w:left w:w="55" w:type="dxa"/>
            <w:bottom w:w="55" w:type="dxa"/>
            <w:right w:w="55" w:type="dxa"/>
          </w:tblCellMar>
        </w:tblPrEx>
        <w:trPr>
          <w:trHeight w:val="303" w:hRule="atLeast"/>
        </w:trPr>
        <w:tc>
          <w:tcPr>
            <w:tcW w:w="7435" w:type="dxa"/>
            <w:gridSpan w:val="3"/>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江苏省公安厅（机关）</w:t>
            </w:r>
          </w:p>
        </w:tc>
        <w:tc>
          <w:tcPr>
            <w:tcW w:w="3011" w:type="dxa"/>
            <w:gridSpan w:val="2"/>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pPr>
              <w:widowControl w:val="0"/>
              <w:jc w:val="left"/>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pPr>
              <w:widowControl w:val="0"/>
              <w:jc w:val="left"/>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
                <w:szCs w:val="2"/>
              </w:rPr>
            </w:pPr>
          </w:p>
        </w:tc>
      </w:tr>
      <w:tr>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w:t>
            </w:r>
          </w:p>
        </w:tc>
        <w:tc>
          <w:tcPr>
            <w:tcW w:w="1499"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1512" w:type="dxa"/>
            <w:tcBorders>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3</w:t>
            </w:r>
          </w:p>
        </w:tc>
      </w:tr>
      <w:tr>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129,055.56</w:t>
            </w:r>
          </w:p>
        </w:tc>
        <w:tc>
          <w:tcPr>
            <w:tcW w:w="1499" w:type="dxa"/>
            <w:tcBorders>
              <w:left w:val="single" w:color="000000" w:sz="6" w:space="0"/>
              <w:bottom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62,704.65</w:t>
            </w:r>
          </w:p>
        </w:tc>
        <w:tc>
          <w:tcPr>
            <w:tcW w:w="1512" w:type="dxa"/>
            <w:tcBorders>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66,350.91</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20199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2019999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108,158.05</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44,159.60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63,998.45</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公安</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95,259.22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44,159.60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51,099.62</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44,159.60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44,159.60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2040219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信息化建设</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7,709.74</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7,709.74</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2040220</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执法办案</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2,742.16</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2,742.16</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其他公安支出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40,647.72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40,647.72</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12,898.83</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12,898.83</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2049999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12,898.83</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12,898.83</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3,660.26</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3,660.26</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3,660.26</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3,660.26</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2,165.50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2,165.50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1,082.75</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1,082.75</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412.01</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412.01</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2100410</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突发公共卫生事件应急处理</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14,884.79</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14,884.79</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14,884.79</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14,884.79</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3,904.53</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3,904.53</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10,980.26</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10,980.26</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1,092.64</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1,092.64</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22999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1,092.64</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1,092.64</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2299999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1,092.64</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1,092.64</w:t>
            </w:r>
          </w:p>
        </w:tc>
      </w:tr>
    </w:tbl>
    <w:p>
      <w:pPr>
        <w:tabs>
          <w:tab w:val="left" w:pos="0"/>
        </w:tabs>
        <w:spacing w:before="25" w:after="0"/>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注：本表反映本年度一般公共预算财政拨款支出情况。本表金额单位转换时可能存在尾数误差。</w:t>
      </w:r>
    </w:p>
    <w:p>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3"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tblPrEx>
          <w:tblCellMar>
            <w:top w:w="55" w:type="dxa"/>
            <w:left w:w="55" w:type="dxa"/>
            <w:bottom w:w="55" w:type="dxa"/>
            <w:right w:w="55" w:type="dxa"/>
          </w:tblCellMar>
        </w:tblPrEx>
        <w:trPr>
          <w:trHeight w:val="319" w:hRule="atLeast"/>
        </w:trPr>
        <w:tc>
          <w:tcPr>
            <w:tcW w:w="10473" w:type="dxa"/>
            <w:gridSpan w:val="5"/>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一般公共预算基本支出决算表（经济科目）</w:t>
            </w:r>
          </w:p>
        </w:tc>
      </w:tr>
      <w:tr>
        <w:tblPrEx>
          <w:tblCellMar>
            <w:top w:w="55" w:type="dxa"/>
            <w:left w:w="55" w:type="dxa"/>
            <w:bottom w:w="55" w:type="dxa"/>
            <w:right w:w="55" w:type="dxa"/>
          </w:tblCellMar>
        </w:tblPrEx>
        <w:trPr>
          <w:trHeight w:val="199" w:hRule="atLeast"/>
        </w:trPr>
        <w:tc>
          <w:tcPr>
            <w:tcW w:w="8595" w:type="dxa"/>
            <w:gridSpan w:val="4"/>
            <w:vAlign w:val="center"/>
          </w:tcPr>
          <w:p>
            <w:pPr>
              <w:pStyle w:val="22"/>
              <w:widowControl w:val="0"/>
              <w:jc w:val="right"/>
              <w:rPr>
                <w:rFonts w:hint="eastAsia" w:ascii="仿宋" w:hAnsi="仿宋" w:eastAsia="仿宋" w:cs="仿宋"/>
                <w:color w:val="000000"/>
                <w:sz w:val="22"/>
                <w:szCs w:val="22"/>
                <w:lang w:eastAsia="zh-CN"/>
              </w:rPr>
            </w:pPr>
          </w:p>
        </w:tc>
        <w:tc>
          <w:tcPr>
            <w:tcW w:w="1878" w:type="dxa"/>
            <w:vAlign w:val="center"/>
          </w:tcPr>
          <w:p>
            <w:pPr>
              <w:pStyle w:val="22"/>
              <w:widowControl w:val="0"/>
              <w:jc w:val="right"/>
              <w:rPr>
                <w:rFonts w:hint="eastAsia" w:ascii="仿宋" w:hAnsi="仿宋" w:eastAsia="仿宋" w:cs="仿宋"/>
              </w:rPr>
            </w:pPr>
            <w:r>
              <w:rPr>
                <w:rFonts w:hint="eastAsia" w:ascii="仿宋" w:hAnsi="仿宋" w:eastAsia="仿宋" w:cs="仿宋"/>
              </w:rPr>
              <w:t>公开08表</w:t>
            </w:r>
          </w:p>
        </w:tc>
      </w:tr>
      <w:tr>
        <w:tblPrEx>
          <w:tblCellMar>
            <w:top w:w="55" w:type="dxa"/>
            <w:left w:w="55" w:type="dxa"/>
            <w:bottom w:w="55" w:type="dxa"/>
            <w:right w:w="55" w:type="dxa"/>
          </w:tblCellMar>
        </w:tblPrEx>
        <w:trPr>
          <w:trHeight w:val="320" w:hRule="atLeast"/>
        </w:trPr>
        <w:tc>
          <w:tcPr>
            <w:tcW w:w="8595"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江苏省公安厅（机关）</w:t>
            </w:r>
          </w:p>
        </w:tc>
        <w:tc>
          <w:tcPr>
            <w:tcW w:w="1878"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一般公共预算财政拨款基本支出</w:t>
            </w:r>
          </w:p>
        </w:tc>
      </w:tr>
      <w:tr>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62,704.65</w:t>
            </w:r>
          </w:p>
        </w:tc>
        <w:tc>
          <w:tcPr>
            <w:tcW w:w="170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54,308.28</w:t>
            </w:r>
          </w:p>
        </w:tc>
        <w:tc>
          <w:tcPr>
            <w:tcW w:w="187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8,396.37</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47,750.49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47,750.49</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5,771.77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5,771.77</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23,803.52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23,803.52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9,984.00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9,984.00</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278.90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278.90</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1,791.09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1,791.09</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1,082.75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1,082.75</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188.69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188.69</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3,906.37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3,906.37</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943.40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943.40</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8,362.55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8,362.55</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574.69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574.69</w:t>
            </w: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311.98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311.98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57.51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57.51</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1,408.58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1,408.58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55.46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55.46</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1,251.00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1,251.00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608.00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608.00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50.03</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50.03</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8.79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8.79</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1.83</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1.83</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24.63</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24.63</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508.96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508.96</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789.94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789.94</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336.86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336.86</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1,030.76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1,030.76</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1,343.28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1,343.28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6,557.79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6,557.79</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700.32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700.32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5,657.67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5,657.67</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16.15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16.15</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61.74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61.74</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6.30</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115.60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115.60</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33.82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33.82</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2.72</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20.71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20.71</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spacing w:before="25" w:after="0"/>
        <w:ind w:left="0" w:leftChars="0" w:right="-92" w:rightChars="-42"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注：本表反映本年度一般公共预算财政拨款基本支出情况。本表金额单位转换时可能存在尾数误差。</w:t>
      </w:r>
    </w:p>
    <w:p>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tblPrEx>
          <w:tblCellMar>
            <w:top w:w="55" w:type="dxa"/>
            <w:left w:w="55" w:type="dxa"/>
            <w:bottom w:w="55" w:type="dxa"/>
            <w:right w:w="55" w:type="dxa"/>
          </w:tblCellMar>
        </w:tblPrEx>
        <w:trPr>
          <w:trHeight w:val="321" w:hRule="atLeast"/>
        </w:trPr>
        <w:tc>
          <w:tcPr>
            <w:tcW w:w="16486" w:type="dxa"/>
            <w:gridSpan w:val="16"/>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en-US" w:eastAsia="zh-CN" w:bidi="zh-CN"/>
              </w:rPr>
              <w:t>财政拨款“三公”经费、会议费和培训费支出决算表</w:t>
            </w:r>
          </w:p>
        </w:tc>
      </w:tr>
      <w:tr>
        <w:tblPrEx>
          <w:tblCellMar>
            <w:top w:w="55" w:type="dxa"/>
            <w:left w:w="55" w:type="dxa"/>
            <w:bottom w:w="55" w:type="dxa"/>
            <w:right w:w="55" w:type="dxa"/>
          </w:tblCellMar>
        </w:tblPrEx>
        <w:trPr>
          <w:trHeight w:val="207" w:hRule="atLeast"/>
        </w:trPr>
        <w:tc>
          <w:tcPr>
            <w:tcW w:w="16486" w:type="dxa"/>
            <w:gridSpan w:val="16"/>
          </w:tcPr>
          <w:p>
            <w:pPr>
              <w:pStyle w:val="22"/>
              <w:widowControl w:val="0"/>
              <w:jc w:val="right"/>
              <w:rPr>
                <w:rFonts w:hint="eastAsia" w:ascii="仿宋" w:hAnsi="仿宋" w:eastAsia="仿宋" w:cs="仿宋"/>
                <w:sz w:val="20"/>
              </w:rPr>
            </w:pPr>
            <w:r>
              <w:rPr>
                <w:rFonts w:hint="eastAsia" w:ascii="仿宋" w:hAnsi="仿宋" w:eastAsia="仿宋" w:cs="仿宋"/>
              </w:rPr>
              <w:t>公开09表</w:t>
            </w:r>
          </w:p>
        </w:tc>
      </w:tr>
      <w:tr>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江苏省公安厅（机关）</w:t>
            </w:r>
          </w:p>
        </w:tc>
        <w:tc>
          <w:tcPr>
            <w:tcW w:w="8274" w:type="dxa"/>
            <w:gridSpan w:val="8"/>
            <w:tcBorders>
              <w:bottom w:val="single" w:color="auto" w:sz="4" w:space="0"/>
            </w:tcBorders>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pPr>
              <w:pStyle w:val="22"/>
              <w:widowControl w:val="0"/>
              <w:jc w:val="center"/>
              <w:rPr>
                <w:rFonts w:hint="eastAsia" w:ascii="仿宋" w:hAnsi="仿宋" w:eastAsia="仿宋" w:cs="仿宋"/>
              </w:rPr>
            </w:pPr>
            <w:r>
              <w:rPr>
                <w:rFonts w:hint="eastAsia" w:ascii="仿宋" w:hAnsi="仿宋" w:eastAsia="仿宋" w:cs="仿宋"/>
                <w:lang w:val="en-US" w:eastAsia="zh-CN"/>
              </w:rPr>
              <w:t>预算数</w:t>
            </w:r>
          </w:p>
        </w:tc>
        <w:tc>
          <w:tcPr>
            <w:tcW w:w="8274" w:type="dxa"/>
            <w:gridSpan w:val="8"/>
            <w:tcBorders>
              <w:top w:val="single" w:color="auto" w:sz="4" w:space="0"/>
              <w:left w:val="single" w:color="auto" w:sz="4" w:space="0"/>
              <w:bottom w:val="single" w:color="auto" w:sz="4" w:space="0"/>
              <w:right w:val="single" w:color="auto" w:sz="4" w:space="0"/>
            </w:tcBorders>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决算数</w:t>
            </w:r>
          </w:p>
        </w:tc>
      </w:tr>
      <w:tr>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培训费</w:t>
            </w:r>
          </w:p>
        </w:tc>
      </w:tr>
      <w:tr>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w:t>
            </w:r>
          </w:p>
          <w:p>
            <w:pPr>
              <w:pStyle w:val="22"/>
              <w:widowControl w:val="0"/>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pPr>
              <w:widowControl w:val="0"/>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w:t>
            </w:r>
          </w:p>
          <w:p>
            <w:pPr>
              <w:pStyle w:val="22"/>
              <w:widowControl w:val="0"/>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r>
      <w:tr>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ascii="仿宋" w:hAnsi="仿宋" w:eastAsia="仿宋" w:cs="仿宋"/>
              </w:rPr>
              <w:t>小计</w:t>
            </w:r>
          </w:p>
        </w:tc>
        <w:tc>
          <w:tcPr>
            <w:tcW w:w="1029"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ascii="仿宋" w:hAnsi="仿宋" w:eastAsia="仿宋" w:cs="仿宋"/>
              </w:rPr>
              <w:t>小计</w:t>
            </w:r>
          </w:p>
        </w:tc>
        <w:tc>
          <w:tcPr>
            <w:tcW w:w="1089"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r>
      <w:tr>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887.94</w:t>
            </w:r>
          </w:p>
        </w:tc>
        <w:tc>
          <w:tcPr>
            <w:tcW w:w="1042"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21.82</w:t>
            </w:r>
          </w:p>
        </w:tc>
        <w:tc>
          <w:tcPr>
            <w:tcW w:w="10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761.46</w:t>
            </w:r>
          </w:p>
        </w:tc>
        <w:tc>
          <w:tcPr>
            <w:tcW w:w="102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238.00</w:t>
            </w:r>
          </w:p>
        </w:tc>
        <w:tc>
          <w:tcPr>
            <w:tcW w:w="99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523.46</w:t>
            </w:r>
          </w:p>
        </w:tc>
        <w:tc>
          <w:tcPr>
            <w:tcW w:w="1026"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104.66</w:t>
            </w:r>
          </w:p>
        </w:tc>
        <w:tc>
          <w:tcPr>
            <w:tcW w:w="104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126.00</w:t>
            </w:r>
          </w:p>
        </w:tc>
        <w:tc>
          <w:tcPr>
            <w:tcW w:w="101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330.00</w:t>
            </w:r>
          </w:p>
        </w:tc>
        <w:tc>
          <w:tcPr>
            <w:tcW w:w="105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371.65</w:t>
            </w:r>
          </w:p>
        </w:tc>
        <w:tc>
          <w:tcPr>
            <w:tcW w:w="101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21.82</w:t>
            </w:r>
          </w:p>
        </w:tc>
        <w:tc>
          <w:tcPr>
            <w:tcW w:w="94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336.86</w:t>
            </w:r>
          </w:p>
        </w:tc>
        <w:tc>
          <w:tcPr>
            <w:tcW w:w="1089"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336.86</w:t>
            </w:r>
          </w:p>
        </w:tc>
        <w:tc>
          <w:tcPr>
            <w:tcW w:w="104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12.97</w:t>
            </w:r>
          </w:p>
        </w:tc>
        <w:tc>
          <w:tcPr>
            <w:tcW w:w="1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50.03</w:t>
            </w:r>
          </w:p>
        </w:tc>
        <w:tc>
          <w:tcPr>
            <w:tcW w:w="102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279.57</w:t>
            </w:r>
          </w:p>
        </w:tc>
      </w:tr>
    </w:tbl>
    <w:p>
      <w:pPr>
        <w:spacing w:before="30" w:after="33"/>
        <w:ind w:left="220" w:leftChars="100" w:firstLine="0" w:firstLineChars="0"/>
        <w:rPr>
          <w:rFonts w:hint="eastAsia" w:ascii="仿宋" w:hAnsi="仿宋" w:eastAsia="仿宋" w:cs="仿宋"/>
          <w:sz w:val="22"/>
          <w:szCs w:val="22"/>
        </w:rPr>
      </w:pPr>
      <w:r>
        <w:rPr>
          <w:rFonts w:hint="eastAsia" w:ascii="仿宋" w:hAnsi="仿宋" w:eastAsia="仿宋" w:cs="仿宋"/>
          <w:sz w:val="22"/>
          <w:szCs w:val="22"/>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ascii="仿宋" w:hAnsi="仿宋" w:eastAsia="仿宋" w:cs="仿宋"/>
                <w:sz w:val="22"/>
              </w:rPr>
              <w:t>项目</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项目</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4</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4</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176</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82</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1,442</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25</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4,532</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41</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2,696</w:t>
            </w:r>
          </w:p>
        </w:tc>
      </w:tr>
    </w:tbl>
    <w:p>
      <w:pPr>
        <w:widowControl w:val="0"/>
        <w:suppressAutoHyphens/>
        <w:bidi w:val="0"/>
        <w:spacing w:before="0" w:after="0"/>
        <w:ind w:left="0" w:leftChars="0" w:right="-2"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b w:val="0"/>
          <w:bCs w:val="0"/>
          <w:sz w:val="22"/>
          <w:szCs w:val="22"/>
        </w:rPr>
        <w:t>。</w:t>
      </w:r>
    </w:p>
    <w:p>
      <w:pPr>
        <w:widowControl w:val="0"/>
        <w:suppressAutoHyphens/>
        <w:bidi w:val="0"/>
        <w:spacing w:before="0" w:after="0"/>
        <w:ind w:left="227" w:right="0" w:firstLine="220" w:firstLineChars="100"/>
        <w:jc w:val="both"/>
        <w:rPr>
          <w:rFonts w:hint="eastAsia" w:ascii="仿宋" w:hAnsi="仿宋" w:eastAsia="仿宋" w:cs="仿宋"/>
          <w:b w:val="0"/>
          <w:bCs w:val="0"/>
          <w:sz w:val="22"/>
          <w:szCs w:val="22"/>
        </w:rPr>
        <w:sectPr>
          <w:footerReference r:id="rId15" w:type="default"/>
          <w:pgSz w:w="16838" w:h="11906" w:orient="landscape"/>
          <w:pgMar w:top="720" w:right="153" w:bottom="720" w:left="15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tblPrEx>
          <w:tblCellMar>
            <w:top w:w="55" w:type="dxa"/>
            <w:left w:w="55" w:type="dxa"/>
            <w:bottom w:w="55" w:type="dxa"/>
            <w:right w:w="55" w:type="dxa"/>
          </w:tblCellMar>
        </w:tblPrEx>
        <w:trPr>
          <w:trHeight w:val="395" w:hRule="atLeast"/>
        </w:trPr>
        <w:tc>
          <w:tcPr>
            <w:tcW w:w="15400"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政府性基金预算支出决算表</w:t>
            </w:r>
          </w:p>
        </w:tc>
      </w:tr>
      <w:tr>
        <w:tblPrEx>
          <w:tblCellMar>
            <w:top w:w="55" w:type="dxa"/>
            <w:left w:w="55" w:type="dxa"/>
            <w:bottom w:w="55" w:type="dxa"/>
            <w:right w:w="55" w:type="dxa"/>
          </w:tblCellMar>
        </w:tblPrEx>
        <w:trPr>
          <w:trHeight w:val="323" w:hRule="atLeast"/>
        </w:trPr>
        <w:tc>
          <w:tcPr>
            <w:tcW w:w="8426" w:type="dxa"/>
            <w:gridSpan w:val="2"/>
          </w:tcPr>
          <w:p>
            <w:pPr>
              <w:pStyle w:val="22"/>
              <w:widowControl w:val="0"/>
              <w:rPr>
                <w:rFonts w:hint="eastAsia" w:ascii="仿宋" w:hAnsi="仿宋" w:eastAsia="仿宋" w:cs="仿宋"/>
                <w:sz w:val="20"/>
              </w:rPr>
            </w:pPr>
          </w:p>
        </w:tc>
        <w:tc>
          <w:tcPr>
            <w:tcW w:w="2684" w:type="dxa"/>
          </w:tcPr>
          <w:p>
            <w:pPr>
              <w:pStyle w:val="22"/>
              <w:widowControl w:val="0"/>
              <w:rPr>
                <w:rFonts w:hint="eastAsia" w:ascii="仿宋" w:hAnsi="仿宋" w:eastAsia="仿宋" w:cs="仿宋"/>
                <w:sz w:val="27"/>
              </w:rPr>
            </w:pPr>
          </w:p>
        </w:tc>
        <w:tc>
          <w:tcPr>
            <w:tcW w:w="2432" w:type="dxa"/>
          </w:tcPr>
          <w:p>
            <w:pPr>
              <w:pStyle w:val="22"/>
              <w:widowControl w:val="0"/>
              <w:rPr>
                <w:rFonts w:hint="eastAsia" w:ascii="仿宋" w:hAnsi="仿宋" w:eastAsia="仿宋" w:cs="仿宋"/>
                <w:sz w:val="20"/>
              </w:rPr>
            </w:pPr>
          </w:p>
        </w:tc>
        <w:tc>
          <w:tcPr>
            <w:tcW w:w="1858"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公开10表</w:t>
            </w:r>
          </w:p>
        </w:tc>
      </w:tr>
      <w:tr>
        <w:tblPrEx>
          <w:tblCellMar>
            <w:top w:w="55" w:type="dxa"/>
            <w:left w:w="55" w:type="dxa"/>
            <w:bottom w:w="55" w:type="dxa"/>
            <w:right w:w="55" w:type="dxa"/>
          </w:tblCellMar>
        </w:tblPrEx>
        <w:trPr>
          <w:trHeight w:val="152" w:hRule="atLeast"/>
        </w:trPr>
        <w:tc>
          <w:tcPr>
            <w:tcW w:w="13542"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江苏省公安厅（机关）</w:t>
            </w:r>
          </w:p>
        </w:tc>
        <w:tc>
          <w:tcPr>
            <w:tcW w:w="1858"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43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432"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185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bl>
    <w:p>
      <w:pPr>
        <w:spacing w:before="25" w:after="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注：本表反映本年度政府性基金预算财政拨款支出情况。</w:t>
      </w:r>
    </w:p>
    <w:p>
      <w:pPr>
        <w:numPr>
          <w:ilvl w:val="0"/>
          <w:numId w:val="0"/>
        </w:numPr>
        <w:spacing w:before="25" w:after="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本单位无政府性基金预算收入支出决算，故本表为空。</w:t>
      </w:r>
    </w:p>
    <w:p>
      <w:pPr>
        <w:widowControl w:val="0"/>
        <w:numPr>
          <w:ilvl w:val="0"/>
          <w:numId w:val="0"/>
        </w:numPr>
        <w:suppressAutoHyphens/>
        <w:bidi w:val="0"/>
        <w:spacing w:before="25" w:after="0"/>
        <w:jc w:val="both"/>
        <w:rPr>
          <w:rFonts w:hint="default" w:ascii="仿宋" w:hAnsi="仿宋" w:eastAsia="仿宋" w:cs="仿宋"/>
          <w:b w:val="0"/>
          <w:bCs w:val="0"/>
          <w:sz w:val="22"/>
          <w:szCs w:val="22"/>
          <w:lang w:val="en-US" w:eastAsia="zh-CN"/>
        </w:rPr>
        <w:sectPr>
          <w:footerReference r:id="rId16"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tblPrEx>
          <w:tblCellMar>
            <w:top w:w="55" w:type="dxa"/>
            <w:left w:w="55" w:type="dxa"/>
            <w:bottom w:w="55" w:type="dxa"/>
            <w:right w:w="55" w:type="dxa"/>
          </w:tblCellMar>
        </w:tblPrEx>
        <w:trPr>
          <w:trHeight w:val="395" w:hRule="atLeast"/>
        </w:trPr>
        <w:tc>
          <w:tcPr>
            <w:tcW w:w="15400"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国有资本经营预算支出决算表</w:t>
            </w:r>
          </w:p>
        </w:tc>
      </w:tr>
      <w:tr>
        <w:tblPrEx>
          <w:tblCellMar>
            <w:top w:w="55" w:type="dxa"/>
            <w:left w:w="55" w:type="dxa"/>
            <w:bottom w:w="55" w:type="dxa"/>
            <w:right w:w="55" w:type="dxa"/>
          </w:tblCellMar>
        </w:tblPrEx>
        <w:trPr>
          <w:trHeight w:val="323" w:hRule="atLeast"/>
        </w:trPr>
        <w:tc>
          <w:tcPr>
            <w:tcW w:w="8520" w:type="dxa"/>
            <w:gridSpan w:val="2"/>
          </w:tcPr>
          <w:p>
            <w:pPr>
              <w:pStyle w:val="22"/>
              <w:widowControl w:val="0"/>
              <w:rPr>
                <w:rFonts w:hint="eastAsia" w:ascii="仿宋" w:hAnsi="仿宋" w:eastAsia="仿宋" w:cs="仿宋"/>
                <w:sz w:val="20"/>
              </w:rPr>
            </w:pPr>
          </w:p>
        </w:tc>
        <w:tc>
          <w:tcPr>
            <w:tcW w:w="2510" w:type="dxa"/>
          </w:tcPr>
          <w:p>
            <w:pPr>
              <w:pStyle w:val="22"/>
              <w:widowControl w:val="0"/>
              <w:rPr>
                <w:rFonts w:hint="eastAsia" w:ascii="仿宋" w:hAnsi="仿宋" w:eastAsia="仿宋" w:cs="仿宋"/>
                <w:sz w:val="27"/>
              </w:rPr>
            </w:pPr>
          </w:p>
        </w:tc>
        <w:tc>
          <w:tcPr>
            <w:tcW w:w="2309" w:type="dxa"/>
          </w:tcPr>
          <w:p>
            <w:pPr>
              <w:pStyle w:val="22"/>
              <w:widowControl w:val="0"/>
              <w:rPr>
                <w:rFonts w:hint="eastAsia" w:ascii="仿宋" w:hAnsi="仿宋" w:eastAsia="仿宋" w:cs="仿宋"/>
                <w:sz w:val="20"/>
              </w:rPr>
            </w:pPr>
          </w:p>
        </w:tc>
        <w:tc>
          <w:tcPr>
            <w:tcW w:w="2061"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eastAsia="zh-CN"/>
              </w:rPr>
              <w:t>1</w:t>
            </w:r>
            <w:r>
              <w:rPr>
                <w:rFonts w:hint="eastAsia" w:ascii="仿宋" w:hAnsi="仿宋" w:eastAsia="仿宋" w:cs="仿宋"/>
              </w:rPr>
              <w:t>表</w:t>
            </w:r>
          </w:p>
        </w:tc>
      </w:tr>
      <w:tr>
        <w:tblPrEx>
          <w:tblCellMar>
            <w:top w:w="55" w:type="dxa"/>
            <w:left w:w="55" w:type="dxa"/>
            <w:bottom w:w="55" w:type="dxa"/>
            <w:right w:w="55" w:type="dxa"/>
          </w:tblCellMar>
        </w:tblPrEx>
        <w:trPr>
          <w:trHeight w:val="152" w:hRule="atLeast"/>
        </w:trPr>
        <w:tc>
          <w:tcPr>
            <w:tcW w:w="13339"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江苏省公安厅（机关）</w:t>
            </w:r>
          </w:p>
        </w:tc>
        <w:tc>
          <w:tcPr>
            <w:tcW w:w="2061"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309"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30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061"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bl>
    <w:p>
      <w:pPr>
        <w:bidi w:val="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注：本表反映本年度国有资本经营预算财政拨款支出情况。</w:t>
      </w:r>
    </w:p>
    <w:p>
      <w:pPr>
        <w:numPr>
          <w:ilvl w:val="0"/>
          <w:numId w:val="0"/>
        </w:numPr>
        <w:bidi w:val="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本单位无</w:t>
      </w:r>
      <w:r>
        <w:rPr>
          <w:rFonts w:hint="eastAsia" w:ascii="仿宋" w:hAnsi="仿宋" w:eastAsia="仿宋" w:cs="仿宋"/>
          <w:b w:val="0"/>
          <w:bCs w:val="0"/>
          <w:sz w:val="22"/>
          <w:szCs w:val="22"/>
        </w:rPr>
        <w:t>国有资本经营预算支出</w:t>
      </w:r>
      <w:r>
        <w:rPr>
          <w:rFonts w:hint="eastAsia" w:ascii="仿宋" w:hAnsi="仿宋" w:eastAsia="仿宋" w:cs="仿宋"/>
          <w:b w:val="0"/>
          <w:bCs w:val="0"/>
          <w:sz w:val="22"/>
          <w:szCs w:val="22"/>
          <w:lang w:val="en-US" w:eastAsia="zh-CN"/>
        </w:rPr>
        <w:t>决算，故本表为空。</w:t>
      </w:r>
    </w:p>
    <w:p>
      <w:pPr>
        <w:spacing w:before="25" w:after="0"/>
        <w:ind w:left="-220" w:leftChars="-100" w:firstLine="0" w:firstLineChars="0"/>
        <w:jc w:val="both"/>
        <w:rPr>
          <w:rFonts w:hint="default" w:ascii="仿宋" w:hAnsi="仿宋" w:eastAsia="仿宋" w:cs="仿宋"/>
          <w:b w:val="0"/>
          <w:bCs w:val="0"/>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tblPrEx>
          <w:tblCellMar>
            <w:top w:w="55" w:type="dxa"/>
            <w:left w:w="55" w:type="dxa"/>
            <w:bottom w:w="55" w:type="dxa"/>
            <w:right w:w="55" w:type="dxa"/>
          </w:tblCellMar>
        </w:tblPrEx>
        <w:trPr>
          <w:trHeight w:val="319" w:hRule="atLeast"/>
        </w:trPr>
        <w:tc>
          <w:tcPr>
            <w:tcW w:w="10466" w:type="dxa"/>
            <w:gridSpan w:val="3"/>
          </w:tcPr>
          <w:p>
            <w:pPr>
              <w:pStyle w:val="22"/>
              <w:widowControl w:val="0"/>
              <w:tabs>
                <w:tab w:val="left" w:pos="610"/>
              </w:tabs>
              <w:spacing w:before="28" w:after="0"/>
              <w:ind w:left="8" w:firstLine="0"/>
              <w:jc w:val="center"/>
              <w:rPr>
                <w:rFonts w:hint="eastAsia" w:ascii="仿宋" w:hAnsi="仿宋" w:eastAsia="仿宋" w:cs="仿宋"/>
                <w:b/>
                <w:bCs/>
                <w:sz w:val="44"/>
                <w:szCs w:val="44"/>
              </w:rPr>
            </w:pPr>
            <w:r>
              <w:rPr>
                <w:rFonts w:hint="eastAsia" w:cs="宋体"/>
                <w:b/>
                <w:bCs/>
                <w:color w:val="000000"/>
                <w:kern w:val="0"/>
                <w:sz w:val="36"/>
                <w:szCs w:val="36"/>
                <w:lang w:val="en-US" w:eastAsia="ar-SA" w:bidi="zh-CN"/>
              </w:rPr>
              <w:t>财政拨款</w:t>
            </w:r>
            <w:r>
              <w:rPr>
                <w:rFonts w:hint="eastAsia" w:ascii="宋体" w:hAnsi="宋体" w:eastAsia="宋体" w:cs="宋体"/>
                <w:b/>
                <w:bCs/>
                <w:color w:val="000000"/>
                <w:kern w:val="0"/>
                <w:sz w:val="36"/>
                <w:szCs w:val="36"/>
                <w:lang w:val="zh-CN" w:eastAsia="ar-SA" w:bidi="zh-CN"/>
              </w:rPr>
              <w:t>机关运行经费支出决算表</w:t>
            </w:r>
          </w:p>
        </w:tc>
      </w:tr>
      <w:tr>
        <w:tblPrEx>
          <w:tblCellMar>
            <w:top w:w="55" w:type="dxa"/>
            <w:left w:w="55" w:type="dxa"/>
            <w:bottom w:w="55" w:type="dxa"/>
            <w:right w:w="55" w:type="dxa"/>
          </w:tblCellMar>
        </w:tblPrEx>
        <w:trPr>
          <w:trHeight w:val="90" w:hRule="atLeast"/>
        </w:trPr>
        <w:tc>
          <w:tcPr>
            <w:tcW w:w="6632" w:type="dxa"/>
            <w:gridSpan w:val="2"/>
          </w:tcPr>
          <w:p>
            <w:pPr>
              <w:pStyle w:val="22"/>
              <w:widowControl w:val="0"/>
              <w:rPr>
                <w:rFonts w:hint="eastAsia" w:ascii="仿宋" w:hAnsi="仿宋" w:eastAsia="仿宋" w:cs="仿宋"/>
                <w:sz w:val="20"/>
              </w:rPr>
            </w:pPr>
          </w:p>
        </w:tc>
        <w:tc>
          <w:tcPr>
            <w:tcW w:w="3834" w:type="dxa"/>
            <w:vAlign w:val="center"/>
          </w:tcPr>
          <w:p>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CellMar>
            <w:top w:w="55" w:type="dxa"/>
            <w:left w:w="55" w:type="dxa"/>
            <w:bottom w:w="55" w:type="dxa"/>
            <w:right w:w="55" w:type="dxa"/>
          </w:tblCellMar>
        </w:tblPrEx>
        <w:trPr>
          <w:trHeight w:val="90" w:hRule="atLeast"/>
        </w:trPr>
        <w:tc>
          <w:tcPr>
            <w:tcW w:w="6632" w:type="dxa"/>
            <w:gridSpan w:val="2"/>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江苏省公安厅（机关）</w:t>
            </w:r>
          </w:p>
        </w:tc>
        <w:tc>
          <w:tcPr>
            <w:tcW w:w="3834"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机关运行经费支出决算</w:t>
            </w:r>
          </w:p>
        </w:tc>
      </w:tr>
      <w:tr>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99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834"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834"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8,396.37</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8,362.55</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574.69</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311.98</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咨询费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0.24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57.51</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1,408.58</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55.46</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1,251.00</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608.00</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50.03</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8.79</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1.83</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24.63</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508.96</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789.94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336.86</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1,030.76</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1,343.28</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33.82</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2.72</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20.71</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10.38</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bl>
    <w:p>
      <w:pPr>
        <w:spacing w:before="25" w:after="0"/>
        <w:ind w:left="0" w:leftChars="0" w:right="-92" w:rightChars="-42" w:firstLine="0" w:firstLineChars="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注：“机关运行经费” 指行政单位（含参照公务员法管理的事业单位）使用</w:t>
      </w:r>
      <w:r>
        <w:rPr>
          <w:rFonts w:hint="eastAsia" w:ascii="仿宋" w:hAnsi="仿宋" w:eastAsia="仿宋" w:cs="仿宋"/>
          <w:b w:val="0"/>
          <w:bCs w:val="0"/>
          <w:sz w:val="22"/>
          <w:szCs w:val="22"/>
          <w:lang w:val="en-US" w:eastAsia="zh-CN"/>
        </w:rPr>
        <w:t>财政拨款</w:t>
      </w:r>
      <w:r>
        <w:rPr>
          <w:rFonts w:hint="eastAsia" w:ascii="仿宋" w:hAnsi="仿宋" w:eastAsia="仿宋" w:cs="仿宋"/>
          <w:b w:val="0"/>
          <w:bCs w:val="0"/>
          <w:sz w:val="22"/>
          <w:szCs w:val="22"/>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pPr>
        <w:numPr>
          <w:ilvl w:val="0"/>
          <w:numId w:val="0"/>
        </w:numPr>
        <w:tabs>
          <w:tab w:val="left" w:pos="440"/>
        </w:tabs>
        <w:spacing w:before="25" w:after="0"/>
        <w:ind w:left="440" w:leftChars="200" w:firstLine="0" w:firstLineChars="0"/>
        <w:jc w:val="both"/>
        <w:rPr>
          <w:rFonts w:hint="eastAsia" w:ascii="仿宋" w:hAnsi="仿宋" w:eastAsia="仿宋" w:cs="仿宋"/>
          <w:b w:val="0"/>
          <w:bCs w:val="0"/>
          <w:sz w:val="22"/>
          <w:szCs w:val="22"/>
          <w:lang w:val="en-US" w:eastAsia="zh-CN"/>
        </w:rPr>
        <w:sectPr>
          <w:footerReference r:id="rId17" w:type="default"/>
          <w:type w:val="continuous"/>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tblPrEx>
          <w:tblCellMar>
            <w:top w:w="55" w:type="dxa"/>
            <w:left w:w="55" w:type="dxa"/>
            <w:bottom w:w="55" w:type="dxa"/>
            <w:right w:w="55" w:type="dxa"/>
          </w:tblCellMar>
        </w:tblPrEx>
        <w:trPr>
          <w:trHeight w:val="333" w:hRule="atLeast"/>
        </w:trPr>
        <w:tc>
          <w:tcPr>
            <w:tcW w:w="10459" w:type="dxa"/>
            <w:gridSpan w:val="4"/>
            <w:vAlign w:val="center"/>
          </w:tcPr>
          <w:p>
            <w:pPr>
              <w:pStyle w:val="22"/>
              <w:widowControl w:val="0"/>
              <w:bidi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政府采购支出决算表</w:t>
            </w:r>
          </w:p>
        </w:tc>
      </w:tr>
      <w:tr>
        <w:tblPrEx>
          <w:tblCellMar>
            <w:top w:w="55" w:type="dxa"/>
            <w:left w:w="55" w:type="dxa"/>
            <w:bottom w:w="55" w:type="dxa"/>
            <w:right w:w="55" w:type="dxa"/>
          </w:tblCellMar>
        </w:tblPrEx>
        <w:trPr>
          <w:trHeight w:val="333" w:hRule="atLeast"/>
        </w:trPr>
        <w:tc>
          <w:tcPr>
            <w:tcW w:w="4472" w:type="dxa"/>
          </w:tcPr>
          <w:p>
            <w:pPr>
              <w:pStyle w:val="22"/>
              <w:widowControl w:val="0"/>
              <w:bidi w:val="0"/>
              <w:rPr>
                <w:rFonts w:hint="eastAsia" w:ascii="仿宋" w:hAnsi="仿宋" w:eastAsia="仿宋" w:cs="仿宋"/>
              </w:rPr>
            </w:pPr>
          </w:p>
        </w:tc>
        <w:tc>
          <w:tcPr>
            <w:tcW w:w="722" w:type="dxa"/>
          </w:tcPr>
          <w:p>
            <w:pPr>
              <w:pStyle w:val="22"/>
              <w:widowControl w:val="0"/>
              <w:rPr>
                <w:rFonts w:hint="eastAsia" w:ascii="仿宋" w:hAnsi="仿宋" w:eastAsia="仿宋" w:cs="仿宋"/>
              </w:rPr>
            </w:pPr>
          </w:p>
        </w:tc>
        <w:tc>
          <w:tcPr>
            <w:tcW w:w="1992" w:type="dxa"/>
          </w:tcPr>
          <w:p>
            <w:pPr>
              <w:pStyle w:val="22"/>
              <w:widowControl w:val="0"/>
              <w:rPr>
                <w:rFonts w:hint="eastAsia" w:ascii="仿宋" w:hAnsi="仿宋" w:eastAsia="仿宋" w:cs="仿宋"/>
              </w:rPr>
            </w:pPr>
          </w:p>
        </w:tc>
        <w:tc>
          <w:tcPr>
            <w:tcW w:w="3273" w:type="dxa"/>
            <w:vAlign w:val="center"/>
          </w:tcPr>
          <w:p>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CellMar>
            <w:top w:w="55" w:type="dxa"/>
            <w:left w:w="55" w:type="dxa"/>
            <w:bottom w:w="55" w:type="dxa"/>
            <w:right w:w="55" w:type="dxa"/>
          </w:tblCellMar>
        </w:tblPrEx>
        <w:trPr>
          <w:trHeight w:val="90" w:hRule="atLeast"/>
        </w:trPr>
        <w:tc>
          <w:tcPr>
            <w:tcW w:w="7186" w:type="dxa"/>
            <w:gridSpan w:val="3"/>
          </w:tcPr>
          <w:p>
            <w:pPr>
              <w:pStyle w:val="22"/>
              <w:widowControl w:val="0"/>
              <w:bidi w:val="0"/>
              <w:rPr>
                <w:rFonts w:hint="eastAsia" w:ascii="仿宋" w:hAnsi="仿宋" w:eastAsia="仿宋" w:cs="仿宋"/>
              </w:rPr>
            </w:pPr>
            <w:r>
              <w:rPr>
                <w:rFonts w:hint="eastAsia" w:ascii="仿宋" w:hAnsi="仿宋" w:eastAsia="仿宋" w:cs="仿宋"/>
                <w:color w:val="000000"/>
                <w:sz w:val="22"/>
                <w:szCs w:val="22"/>
                <w:lang w:eastAsia="zh-CN"/>
              </w:rPr>
              <w:t>单位</w:t>
            </w:r>
            <w:r>
              <w:rPr>
                <w:rFonts w:ascii="仿宋" w:hAnsi="仿宋" w:eastAsia="仿宋" w:cs="仿宋"/>
                <w:color w:val="000000"/>
                <w:sz w:val="22"/>
              </w:rPr>
              <w:t>名称：</w:t>
            </w:r>
            <w:r>
              <w:rPr>
                <w:rFonts w:hint="eastAsia" w:ascii="仿宋" w:hAnsi="仿宋" w:eastAsia="仿宋" w:cs="仿宋"/>
              </w:rPr>
              <w:t>江苏省公安厅（机关）</w:t>
            </w:r>
          </w:p>
        </w:tc>
        <w:tc>
          <w:tcPr>
            <w:tcW w:w="3273" w:type="dxa"/>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pPr>
              <w:pStyle w:val="22"/>
              <w:widowControl w:val="0"/>
              <w:bidi w:val="0"/>
              <w:jc w:val="center"/>
              <w:rPr>
                <w:rFonts w:hint="eastAsia" w:ascii="仿宋" w:hAnsi="仿宋" w:eastAsia="仿宋" w:cs="仿宋"/>
                <w:lang w:val="en-US" w:eastAsia="zh-CN"/>
              </w:rPr>
            </w:pPr>
            <w:r>
              <w:rPr>
                <w:rFonts w:ascii="仿宋" w:hAnsi="仿宋" w:eastAsia="仿宋" w:cs="仿宋"/>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58,822.40</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28,342.43</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1,937.68</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28,542.30</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bidi w:val="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政府采购支出信息为单位纳入部门预算范围的各项政府采购支出情况。本表金额单位转换时可能存在尾数误差</w:t>
      </w:r>
      <w:r>
        <w:rPr>
          <w:rFonts w:hint="eastAsia" w:ascii="仿宋" w:hAnsi="仿宋" w:eastAsia="仿宋" w:cs="仿宋"/>
          <w:b w:val="0"/>
          <w:bCs w:val="0"/>
          <w:sz w:val="22"/>
          <w:szCs w:val="22"/>
        </w:rPr>
        <w:t>。</w:t>
      </w:r>
    </w:p>
    <w:p>
      <w:pPr>
        <w:numPr>
          <w:ilvl w:val="0"/>
          <w:numId w:val="0"/>
        </w:numPr>
        <w:bidi w:val="0"/>
        <w:ind w:left="440" w:leftChars="200" w:firstLine="0" w:firstLineChars="0"/>
        <w:jc w:val="both"/>
        <w:rPr>
          <w:rFonts w:hint="eastAsia" w:ascii="仿宋" w:hAnsi="仿宋" w:eastAsia="仿宋" w:cs="仿宋"/>
          <w:b w:val="0"/>
          <w:bCs w:val="0"/>
          <w:sz w:val="22"/>
          <w:szCs w:val="22"/>
        </w:rPr>
        <w:sectPr>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outlineLvl w:val="0"/>
        <w:rPr>
          <w:rFonts w:hint="eastAsia" w:ascii="宋体" w:hAnsi="宋体" w:eastAsia="宋体" w:cs="宋体"/>
          <w:b/>
          <w:bCs/>
          <w:color w:val="000000"/>
          <w:kern w:val="0"/>
          <w:sz w:val="36"/>
          <w:szCs w:val="36"/>
          <w:lang w:val="zh-CN" w:eastAsia="ar-SA" w:bidi="zh-CN"/>
        </w:rPr>
      </w:pPr>
      <w:r>
        <w:rPr>
          <w:rFonts w:hint="eastAsia" w:ascii="宋体" w:hAnsi="宋体" w:eastAsia="宋体" w:cs="宋体"/>
          <w:b/>
          <w:bCs/>
          <w:color w:val="000000"/>
          <w:kern w:val="0"/>
          <w:sz w:val="36"/>
          <w:szCs w:val="36"/>
          <w:lang w:val="zh-CN" w:eastAsia="ar-SA" w:bidi="zh-CN"/>
        </w:rPr>
        <w:t>第三部分</w:t>
      </w:r>
      <w:r>
        <w:rPr>
          <w:rFonts w:hint="eastAsia" w:ascii="宋体" w:hAnsi="宋体" w:eastAsia="宋体" w:cs="宋体"/>
          <w:b/>
          <w:bCs/>
          <w:color w:val="000000"/>
          <w:kern w:val="0"/>
          <w:sz w:val="36"/>
          <w:szCs w:val="36"/>
          <w:lang w:val="en-US" w:eastAsia="zh-CN" w:bidi="zh-CN"/>
        </w:rPr>
        <w:t xml:space="preserve"> </w:t>
      </w:r>
      <w:r>
        <w:rPr>
          <w:rFonts w:hint="eastAsia" w:ascii="宋体" w:hAnsi="宋体" w:eastAsia="宋体" w:cs="宋体"/>
          <w:b/>
          <w:bCs/>
          <w:color w:val="000000"/>
          <w:kern w:val="0"/>
          <w:sz w:val="36"/>
          <w:szCs w:val="36"/>
          <w:lang w:val="zh-CN" w:eastAsia="zh-CN" w:bidi="zh-CN"/>
        </w:rPr>
        <w:t>2022</w:t>
      </w:r>
      <w:r>
        <w:rPr>
          <w:rFonts w:hint="eastAsia" w:ascii="宋体" w:hAnsi="宋体" w:eastAsia="宋体" w:cs="宋体"/>
          <w:b/>
          <w:bCs/>
          <w:color w:val="000000"/>
          <w:kern w:val="0"/>
          <w:sz w:val="36"/>
          <w:szCs w:val="36"/>
          <w:lang w:val="zh-CN" w:eastAsia="ar-SA" w:bidi="zh-CN"/>
        </w:rPr>
        <w:t>年度</w:t>
      </w:r>
      <w:r>
        <w:rPr>
          <w:rFonts w:ascii="宋体" w:hAnsi="宋体" w:eastAsia="宋体" w:cs="宋体"/>
          <w:b/>
          <w:color w:val="000000"/>
          <w:sz w:val="36"/>
        </w:rPr>
        <w:t>单位决算情况说明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一、收入支出决算总体情况说明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2022年度收入、支出决算总计135,898.1万元。与上年相比，收、支总计各减少7,503.7万元，减少5.23%。其中：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（一）收入决算总计135,898.1万元。包括：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1.本年收入决算合计132,006.1万元。与上年相比，减少2,822.22万元，减少2.09%，变动原因：根据国务院关于严格控制和压减一般性支出的要求，对单位运转类经费压减。</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2.使用非财政拨款结余0万元。与上年决算数相同。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3.年初结转和结余3,892万元。与上年相比，减少4,681.48万元，减少54.6%，变动原因：项目正常进度支付。</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（二）支出决算总计135,898.1万元。包括：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1.本年支出决算合计129,240.65万元。与上年相比，减少2,045.35万元，减少1.56%，变动原因：根据国务院关于严格控制和压减一般性支出的要求，对单位运转类经费压减。</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2.结余分配0万元。与上年决算数相同。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末结转和结余6,657.46万元。结转和结余事项：单位已按计划采购并签订合同，需在以后年度按合同约定支付的项目。与上年相比，减少5,458.35万元，减少45.05%，变动原因：上年度个别项目于12月底追加，未能形成支出，导致上年度结转较多。</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二、收入决算情况说明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收入决算合计132,006.1万元，其中：财政拨款收入132,006.1万元，占100%；上级补助收入0万元，占0%；财政专户管理教育收费0万元，占0%；事业收入（不含专户管理教育收费）0万元，占0%；经营收入0万元，占0%；附属单位上缴收入0万元，占0%；其他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2022年度本年支出决算合计129,240.65万元，其中：基本支出62,704.65万元，占48.52%；项目支出66,536万元，占51.48%；上缴上级支出0万元，占0%；经营支出0万元，占0%；对附属单位补助支出0万元，占0%。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四、财政拨款收入支出决算总体情况说明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2022年度财政拨款收入、支出决算总计135,578.86万元。与上年相比，收、支总计各减少6,577.16万元，减少4.63%，变动原因：根据国务院关于严格控制和压减一般性支出的要求，对单位运转类经费压减。</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五、财政拨款支出决算情况说明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2022年度财政拨款支出决算129,055.56万元，占本年支出合计的99.86%。与2022年度财政拨款支出年初预算106,645.73万元相比，完成年初预算的121.01%。其中：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（一）一般公共服务支出（类）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其他一般公共服务支出（款）其他一般公共服务支出（项）。年初预算0万元，支出决算21.82万元，（年初预算数为0万元，无法计算完成比率）决算数与年初预算数的差异原因：21.82万元为因公出国（境）费用，由财政通过专项预算安排。</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（二）公共安全支出（类）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安（款）行政运行（项）。年初预算56,622.02万元，支出决算44,159.6万元，完成年初预算的77.99%。决算数与年初预算数的差异原因：根据国家和省厅厉行节约反对浪费有关要求，严格控制三公两费支出；对个别项目决算口径进行调整，主要是干警服装费预算编制在行政运行，决算编制时应财政要求调整至其他公安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安（款）信息化建设（项）。年初预算8,566.74万元，支出决算7,709.74万元，完成年初预算的90%。决算数与年初预算数的差异原因：该项目主要用于软硬件等运维以及信息租赁。根据国务院关于严格控制和压减一般性支出的要求，年中追减指标10%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3.公安（款）执法办案（项）。年初预算2,600万元，支出决算2,742.16万元，完成年初预算的105.47%。决算数与年初预算数的差异原因：因二十大安保维稳，专项追加了办案业务费；部分专项资金结转下年使用。</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4.公安（款）其他公安支出（项）。年初预算20,311.92万元，支出决算40,647.72万元，完成年初预算的200.12%。决算数与年初预算数的差异原因：对个别项目决算口径进行调整，主要是干警服装费预算编制在行政运行，决算编制时应财政要求调整至其他公安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5.其他公共安全支出（款）其他公共安全支出（项）。年初预算0万元，支出决算12,898.83万元，（年初预算数为0万元，无法计算完成比率）决算数与年初预算数的差异原因：追加基本建设类项目经费。</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（三）社会保障和就业支出（类）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1.行政事业单位养老支出（款）机关事业单位基本养老保险缴费支出（项）。年初预算2,165.5万元，支出决算2,165.5万元，完成年初预算的100%。决算数与年初预算数相同。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2.行政事业单位养老支出（款）机关事业单位职业年金缴费支出（项）。年初预算1,082.75万元，支出决算1,082.75万元，完成年初预算的100%。决算数与年初预算数相同。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3.行政事业单位养老支出（款）其他行政事业单位养老支出（项）。年初预算412.01万元，支出决算412.01万元，完成年初预算的100%。决算数与年初预算数相同。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（四）卫生健康支出（类）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公共卫生（款）突发公共卫生事件应急处理（项）。年初预算0万元，支出决算1,238万元，（年初预算数为0万元，无法计算完成比率）决算数与年初预算数的差异原因：追加疫情防控专项经费。</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（五）住房保障支出（类）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1.住房改革支出（款）住房公积金（项）。年初预算3,904.53万元，支出决算3,904.53万元，完成年初预算的100%。决算数与年初预算数相同。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2.住房改革支出（款）提租补贴（项）。年初预算10,980.26万元，支出决算10,980.26万元，完成年初预算的100%。决算数与年初预算数相同。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（六）其他支出（类）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其他支出（款）其他支出（项）。年初预算0万元，支出决算1,092.64万元，（年初预算数为0万元，无法计算完成比率）决算数与年初预算数的差异原因：追加基本建设类项目经费。</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六、财政拨款基本支出决算情况说明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2022年度财政拨款基本支出决算62,704.65万元，其中：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（一）人员经费54,308.28万元。</w:t>
      </w:r>
      <w:r>
        <w:rPr>
          <w:rFonts w:ascii="仿宋" w:hAnsi="仿宋" w:eastAsia="仿宋" w:cs="仿宋"/>
        </w:rPr>
        <w:t>主要包括：基本工资、津贴补贴、奖金、绩效工资、机关事业单位基本养老保险缴费、职业年金缴费、其他社会保障缴费、住房公积金、其他工资福利支出、离休费、退休费、退职（役）费、抚恤金、生活补助、其他对个人和家庭的补助。</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（二）公用经费8,396.37万元。</w:t>
      </w:r>
      <w:r>
        <w:rPr>
          <w:rFonts w:ascii="仿宋" w:hAnsi="仿宋" w:eastAsia="仿宋" w:cs="仿宋"/>
        </w:rPr>
        <w:t>主要包括：办公费、印刷费、手续费、水费、电费、邮电费、差旅费、维修（护）费、会议费、公务接待费、专用材料费、委托业务费、工会经费、福利费、公务用车运行维护费、其他交通费用、其他商品和服务支出、办公设备购置、专用设备购置、信息网络及软件购置更新。</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七、一般公共预算支出决算情况说明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2022年度一般公共预算财政拨款支出决算129,055.56万元。与上年相比，减少1,303.9万元，减少1%，变动原因：根据国务院关于严格控制和压减一般性支出的要求，对单位运转类经费压减。</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八、一般公共预算基本支出决算情况说明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2022年度一般公共预算财政拨款基本支出决算62,704.65万元，其中：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（一）人员经费54,308.28万元。</w:t>
      </w:r>
      <w:r>
        <w:rPr>
          <w:rFonts w:ascii="仿宋" w:hAnsi="仿宋" w:eastAsia="仿宋" w:cs="仿宋"/>
        </w:rPr>
        <w:t>主要包括：基本工资、津贴补贴、奖金、绩效工资、机关事业单位基本养老保险缴费、职业年金缴费、其他社会保障缴费、住房公积金、其他工资福利支出、离休费、退休费、退职（役）费、抚恤金、生活补助、其他对个人和家庭的补助。</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（二）公用经费8,396.37万元。</w:t>
      </w:r>
      <w:r>
        <w:rPr>
          <w:rFonts w:ascii="仿宋" w:hAnsi="仿宋" w:eastAsia="仿宋" w:cs="仿宋"/>
        </w:rPr>
        <w:t>主要包括：办公费、印刷费、手续费、水费、电费、邮电费、差旅费、维修（护）费、会议费、公务接待费、专用材料费、委托业务费、工会经费、福利费、公务用车运行维护费、其他交通费用、其他商品和服务支出、办公设备购置、专用设备购置、信息网络及软件购置更新。</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九、财政拨款“三公”经费、会议费和培训费支出情况说明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（一）财政拨款“三公”经费支出总体情况说明。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三公”经费支出决算371.65万元（其中：一般公共预算支出371.65万元；政府性基金预算支出0万元；国有资本经营预算支出0万元）。与上年相比，减少173.24万元，变动原因：根据国家和省厅厉行节约反对浪费有关要求，严格控制相关支出。其中，因公出国（境）费支出21.82万元，占“三公”经费的5.87%；公务用车购置及运行维护费支出336.86万元，占“三公”经费的90.64%；公务接待费支出12.97万元，占“三公”经费的3.49%。</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（二）财政拨款“三公”经费支出具体情况说明。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预算21.82万元（其中：一般公共预算支出21.82万元；政府性基金预算支出0万元；国有资本经营预算支出0万元），支出决算21.82万元（其中：一般公共预算支出21.82万元；政府性基金预算支出0万元；国有资本经营预算支出0万元），完成预算的100%，决算数与预算数相同。全年使用财政拨款涉及的出国（境）团组4个，累计4人次。开支内容：按省财政厅、省外办联合发布的《关于转发财政部、外交部〈因公临时出国经费管理办法〉的通知》中规定的国际机票、境外住宿费、伙食费、公杂费等。</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购置及运行维护费支出预算761.46万元（其中：一般公共预算支出761.46万元；政府性基金预算支出0万元；国有资本经营预算支出0万元），支出决算336.86万元（其中：一般公共预算支出336.86万元；政府性基金预算支出0万元；国有资本经营预算支出0万元），完成预算的44.24%，决算数与预算数的差异原因：根据国家和省厅严格控制和压减一般性支出的要求加强公车管理；追加执法执勤车辆购置费238万，因履行政府采购需要时间，本年未能完成采购。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（1）公务用车购置支出决算0万元。本年度使用财政拨款购置公务用车0辆。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运行维护费支出决算336.86万元。公务用车运行维护费主要用于按规定保留的公务用车的燃料费、维修费、过桥过路费、保险费、安全奖励费用等支出。截至2022年12月31日，使用财政拨款开支的公务用车保有量为176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接待费支出预算104.66万元（其中：一般公共预算支出104.66万元；政府性基金预算支出0万元；国有资本经营预算支出0万元），支出决算12.97万元（其中：一般公共预算支出12.97万元；政府性基金预算支出0万元；国有资本经营预算支出0万元），完成预算的12.39%，决算数与预算数的差异原因：根据国家和省厅厉行节约、反对浪费的有关要求，我厅严格执行相关规定，实行公务接待事先审批，从严控制公务接待任务、接待标准及配餐人数。其中：国内公务接待支出12.97万元，接待82批次，1442人次，开支内容：主要为接待来苏、来厅考察和联系工作的外省（市、区）公安机关和有关部门人员；应邀来厅授课、办案指导的领导、专家、学者和相关人员；因工作需要接待的其他人员等；国（境）外公务接待支出0万元，接待0批次0人次。</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（三）财政拨款会议费支出决算情况说明。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会议费支出预算126万元（其中：一般公共预算支出126万元；政府性基金预算支出0万元；国有资本经营预算支出0万元），支出决算50.03万元（其中：一般公共预算支出50.03万元；政府性基金预算支出0万元；国有资本经营预算支出0万元），完成预算的39.71%，决算数与预算数的差异原因：根据国家和省厅厉行节约、反对浪费的有关要求，我厅严格执行会议费相关管理规定，从严控制会议数量、会期、规模和费用。2022年度全年召开会议25个，参加会议4532人次，开支内容：警种部门专项工作座谈会、案件评析会、全省重点工作推进会等。</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（四）财政拨款培训费支出决算情况说明。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培训费支出预算330万元（其中：一般公共预算支出330万元；政府性基金预算支出0万元；国有资本经营预算支出0万元），支出决算279.57万元（其中：一般公共预算支出279.57万元；政府性基金预算支出0万元；国有资本经营预算支出0万元），完成预算的84.72%，决算数与预算数的差异原因：根据国家和省厅厉行节约、反对浪费的有关要求，我厅严格执行培训费相关管理规定，从严控制培训班规模、办班地点及授课劳务费标准等；同时积极改进培训方式，大力采用在线培训。2022年度全年组织培训41个，组织培训2696人次，开支内容：主要为各部门业务培训及实战练兵等。</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十、政府性基金预算财政拨款支出决算情况说明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2022年度政府性基金预算财政拨款支出决算0万元。与上年决算数相同。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十一、国有资本经营预算财政拨款支出决算情况说明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2022年度国有资本经营预算财政拨款支出决算0万元。与上年决算数相同。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十二、财政拨款机关运行经费支出决算情况说明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机关运行经费支出决算8,396.37万元（其中：一般公共预算支出8,396.37万元；政府性基金预算支出0万元；国有资本经营预算支出0万元）。与上年相比，减少563.62万元，减少6.29%，变动原因：根据国家和省厅厉行节约反对浪费有关要求严格控制各项经费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十三、政府采购支出决算情况说明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采购支出总额58,822.4万元，其中：政府采购货物支出28,342.43万元、政府采购工程支出1,937.68万元、政府采购服务支出28,542.3万元。政府采购授予中小企业合同金额0万元，占政府采购支出总额的0%，其中：授予小微企业合同金额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十四、国有资产占用情况说明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本单位共有车辆176辆，其中，一般公务用车5辆、执法执勤用车45辆、特种专业技术用车115辆、业务用车7辆、其他用车4辆等。单价100万元（含）以上的设备63台（不含车辆）。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十五、预算绩效评价工作开展情况</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2022年度，本单位共0个项目开展了财政绩效评价，涉及财政性资金合计0万元；本单位未开展单位整体支出财政绩效评价，涉及财政性资金0万元。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2022年度，本单位共13个项目开展了绩效自评价，涉及财政性资金合计46,924.25万元；本单位共开展1项单位整体支出绩效自评价，涉及财政性资金合计100,488.32万元。</w:t>
      </w:r>
    </w:p>
    <w:p>
      <w:pPr>
        <w:pStyle w:val="5"/>
        <w:tabs>
          <w:tab w:val="left" w:pos="3077"/>
        </w:tabs>
        <w:spacing w:line="616" w:lineRule="exact"/>
        <w:jc w:val="center"/>
        <w:outlineLvl w:val="0"/>
        <w:rPr>
          <w:rFonts w:hint="eastAsia" w:ascii="宋体" w:hAnsi="宋体" w:eastAsia="宋体" w:cs="宋体"/>
          <w:b/>
          <w:bCs/>
          <w:sz w:val="36"/>
          <w:szCs w:val="36"/>
        </w:rPr>
      </w:pPr>
      <w:r>
        <w:rPr>
          <w:rFonts w:hint="eastAsia" w:ascii="宋体" w:hAnsi="宋体" w:eastAsia="宋体" w:cs="宋体"/>
          <w:b/>
          <w:bCs/>
          <w:sz w:val="36"/>
          <w:szCs w:val="36"/>
        </w:rPr>
        <w:t>第四部分 名词</w:t>
      </w:r>
      <w:r>
        <w:rPr>
          <w:rFonts w:hint="eastAsia" w:ascii="宋体" w:hAnsi="宋体" w:eastAsia="宋体" w:cs="宋体"/>
          <w:b/>
          <w:bCs/>
          <w:color w:val="000000"/>
          <w:kern w:val="0"/>
          <w:sz w:val="36"/>
          <w:szCs w:val="36"/>
          <w:lang w:val="zh-CN" w:eastAsia="ar-SA" w:bidi="zh-CN"/>
        </w:rPr>
        <w:t>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rPr>
        <w:t>：</w:t>
      </w:r>
      <w:r>
        <w:rPr>
          <w:rFonts w:hint="eastAsia" w:ascii="仿宋" w:hAnsi="仿宋" w:eastAsia="仿宋" w:cs="仿宋"/>
        </w:rPr>
        <w:t>指单位从同级财政部门取得的各类财政拨款，包括一般公共预算财政拨款、政府性基金预算财政拨款、国有资本经营预算财政拨款。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rPr>
        <w:t>：</w:t>
      </w:r>
      <w:r>
        <w:rPr>
          <w:rFonts w:hint="eastAsia" w:ascii="仿宋" w:hAnsi="仿宋" w:eastAsia="仿宋" w:cs="仿宋"/>
        </w:rPr>
        <w:t>指事业单位从主管部门和上级单位取得的非财政补助收入。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rPr>
        <w:t>：</w:t>
      </w:r>
      <w:r>
        <w:rPr>
          <w:rFonts w:hint="eastAsia" w:ascii="仿宋" w:hAnsi="仿宋" w:eastAsia="仿宋" w:cs="仿宋"/>
        </w:rPr>
        <w:t>指缴入财政专户、实行专项管理的高中以上学费、住宿费、高校委托培养费、函大、电大、夜大及短训班培训费等教育收费。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rPr>
        <w:t>：</w:t>
      </w:r>
      <w:r>
        <w:rPr>
          <w:rFonts w:hint="eastAsia" w:ascii="仿宋" w:hAnsi="仿宋" w:eastAsia="仿宋" w:cs="仿宋"/>
        </w:rPr>
        <w:t>指事业单位开展专业业务活动及其辅助活动取得的收入。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rPr>
        <w:t>：</w:t>
      </w:r>
      <w:r>
        <w:rPr>
          <w:rFonts w:hint="eastAsia" w:ascii="仿宋" w:hAnsi="仿宋" w:eastAsia="仿宋" w:cs="仿宋"/>
        </w:rPr>
        <w:t>指事业单位在专业业务活动及其辅助活动之外开展非独立核算经营活动取得的收入。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rPr>
        <w:t>：</w:t>
      </w:r>
      <w:r>
        <w:rPr>
          <w:rFonts w:hint="eastAsia" w:ascii="仿宋" w:hAnsi="仿宋" w:eastAsia="仿宋" w:cs="仿宋"/>
        </w:rPr>
        <w:t>指事业单位附属独立核算单位按照有关规定上缴的收入。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rPr>
        <w:t>：</w:t>
      </w:r>
      <w:r>
        <w:rPr>
          <w:rFonts w:hint="eastAsia" w:ascii="仿宋" w:hAnsi="仿宋" w:eastAsia="仿宋" w:cs="仿宋"/>
        </w:rPr>
        <w:t>指单位取得的除上述“财政拨款收入”、 “上级补助收入”、“事业收入”、“经营收入”、“附属单位上缴收入”等以外的各项收入。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八、使用非财政拨款结余</w:t>
      </w:r>
      <w:r>
        <w:rPr>
          <w:rFonts w:ascii="仿宋" w:hAnsi="仿宋" w:eastAsia="仿宋" w:cs="仿宋"/>
          <w:b/>
        </w:rPr>
        <w:t>：</w:t>
      </w:r>
      <w:r>
        <w:rPr>
          <w:rFonts w:hint="eastAsia" w:ascii="仿宋" w:hAnsi="仿宋" w:eastAsia="仿宋" w:cs="仿宋"/>
        </w:rPr>
        <w:t>指事业单位按照预算管理要求使用非财政拨款结余（原事业基金）弥补当年收支差额的数额。</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rPr>
        <w:t>：</w:t>
      </w:r>
      <w:r>
        <w:rPr>
          <w:rFonts w:hint="eastAsia" w:ascii="仿宋" w:hAnsi="仿宋" w:eastAsia="仿宋" w:cs="仿宋"/>
        </w:rPr>
        <w:t>指单位上年结转本年使用的基本支出结转、项目支出结转和结余、经营结余。</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rPr>
        <w:t>：</w:t>
      </w:r>
      <w:r>
        <w:rPr>
          <w:rFonts w:hint="eastAsia" w:ascii="仿宋" w:hAnsi="仿宋" w:eastAsia="仿宋" w:cs="仿宋"/>
        </w:rPr>
        <w:t>指事业单位按规定缴纳的所得税以及从非财政拨款结余中提取各类结余的情况。</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rPr>
        <w:t>：</w:t>
      </w:r>
      <w:r>
        <w:rPr>
          <w:rFonts w:hint="eastAsia" w:ascii="仿宋" w:hAnsi="仿宋" w:eastAsia="仿宋" w:cs="仿宋"/>
        </w:rPr>
        <w:t>指单位结转下年的基本支出结转、项目支出结转和结余、经营结余。</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rPr>
        <w:t>：</w:t>
      </w:r>
      <w:r>
        <w:rPr>
          <w:rFonts w:hint="eastAsia" w:ascii="仿宋" w:hAnsi="仿宋" w:eastAsia="仿宋" w:cs="仿宋"/>
        </w:rPr>
        <w:t>指为保障机构正常运转、完成日常工作任务所发生的支出，包括人员经费和公用经费。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rPr>
        <w:t>：</w:t>
      </w:r>
      <w:r>
        <w:rPr>
          <w:rFonts w:hint="eastAsia" w:ascii="仿宋" w:hAnsi="仿宋" w:eastAsia="仿宋" w:cs="仿宋"/>
        </w:rPr>
        <w:t>指在为完成特定的工作任务和事业发展目标所发生的支出。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rPr>
        <w:t>：</w:t>
      </w:r>
      <w:r>
        <w:rPr>
          <w:rFonts w:hint="eastAsia" w:ascii="仿宋" w:hAnsi="仿宋" w:eastAsia="仿宋" w:cs="仿宋"/>
        </w:rPr>
        <w:t>指事业单位按照财政部门和主管部门的规定上缴上级单位的支出。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rPr>
        <w:t>：</w:t>
      </w:r>
      <w:r>
        <w:rPr>
          <w:rFonts w:hint="eastAsia" w:ascii="仿宋" w:hAnsi="仿宋" w:eastAsia="仿宋" w:cs="仿宋"/>
        </w:rPr>
        <w:t>指事业单位在专业业务活动及其辅助活动之外开展非独立核算经营活动发生的支出。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rPr>
        <w:t>：</w:t>
      </w:r>
      <w:r>
        <w:rPr>
          <w:rFonts w:hint="eastAsia" w:ascii="仿宋" w:hAnsi="仿宋" w:eastAsia="仿宋" w:cs="仿宋"/>
        </w:rPr>
        <w:t>指事业单位用财政拨款收入之外的收入对附属单位补助发生的支出。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十九、一般公共服务支出(类)其他一般公共服务支出(款)其他一般公共服务支出(项)</w:t>
      </w:r>
      <w:r>
        <w:rPr>
          <w:rFonts w:ascii="仿宋" w:hAnsi="仿宋" w:eastAsia="仿宋" w:cs="仿宋"/>
          <w:b/>
        </w:rPr>
        <w:t>：</w:t>
      </w:r>
      <w:r>
        <w:rPr>
          <w:rFonts w:hint="eastAsia" w:ascii="仿宋" w:hAnsi="仿宋" w:eastAsia="仿宋" w:cs="仿宋"/>
        </w:rPr>
        <w:t>反映除上述项目以外的其他一般公共服务支出。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二十、公共安全支出(类)公安(款)行政运行(项)</w:t>
      </w:r>
      <w:r>
        <w:rPr>
          <w:rFonts w:ascii="仿宋" w:hAnsi="仿宋" w:eastAsia="仿宋" w:cs="仿宋"/>
          <w:b/>
        </w:rPr>
        <w:t>：</w:t>
      </w:r>
      <w:r>
        <w:rPr>
          <w:rFonts w:hint="eastAsia" w:ascii="仿宋" w:hAnsi="仿宋" w:eastAsia="仿宋" w:cs="仿宋"/>
        </w:rPr>
        <w:t>反映行政单位（包括实行公务员管理的事业单位）的基本支出。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二十一、公共安全支出(类)公安(款)信息化建设(项)</w:t>
      </w:r>
      <w:r>
        <w:rPr>
          <w:rFonts w:ascii="仿宋" w:hAnsi="仿宋" w:eastAsia="仿宋" w:cs="仿宋"/>
          <w:b/>
        </w:rPr>
        <w:t>：</w:t>
      </w:r>
      <w:r>
        <w:rPr>
          <w:rFonts w:hint="eastAsia" w:ascii="仿宋" w:hAnsi="仿宋" w:eastAsia="仿宋" w:cs="仿宋"/>
        </w:rPr>
        <w:t>反映各级公安机关用于非涉密的信息网络建设和运行维护相关支出。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二十二、公共安全支出(类)公安(款)执法办案(项)</w:t>
      </w:r>
      <w:r>
        <w:rPr>
          <w:rFonts w:ascii="仿宋" w:hAnsi="仿宋" w:eastAsia="仿宋" w:cs="仿宋"/>
          <w:b/>
        </w:rPr>
        <w:t>：</w:t>
      </w:r>
      <w:r>
        <w:rPr>
          <w:rFonts w:hint="eastAsia" w:ascii="仿宋" w:hAnsi="仿宋" w:eastAsia="仿宋" w:cs="仿宋"/>
        </w:rPr>
        <w:t>反映公安机关从事行政执法、刑事司法及侦查办案等相关活动的支出。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二十三、公共安全支出(类)公安(款)其他公安支出(项)</w:t>
      </w:r>
      <w:r>
        <w:rPr>
          <w:rFonts w:ascii="仿宋" w:hAnsi="仿宋" w:eastAsia="仿宋" w:cs="仿宋"/>
          <w:b/>
        </w:rPr>
        <w:t>：</w:t>
      </w:r>
      <w:r>
        <w:rPr>
          <w:rFonts w:hint="eastAsia" w:ascii="仿宋" w:hAnsi="仿宋" w:eastAsia="仿宋" w:cs="仿宋"/>
        </w:rPr>
        <w:t>反映除上述项目以外其他用于公安方面的支出。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二十四、公共安全支出(类)其他公共安全支出(款)其他公共安全支出(项)</w:t>
      </w:r>
      <w:r>
        <w:rPr>
          <w:rFonts w:ascii="仿宋" w:hAnsi="仿宋" w:eastAsia="仿宋" w:cs="仿宋"/>
          <w:b/>
        </w:rPr>
        <w:t>：</w:t>
      </w:r>
      <w:r>
        <w:rPr>
          <w:rFonts w:hint="eastAsia" w:ascii="仿宋" w:hAnsi="仿宋" w:eastAsia="仿宋" w:cs="仿宋"/>
        </w:rPr>
        <w:t>反映除上述项目以外其他用于公共安全方面的支出。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二十五、社会保障和就业支出(类)行政事业单位养老支出(款)机关事业单位基本养老保险缴费支出(项)</w:t>
      </w:r>
      <w:r>
        <w:rPr>
          <w:rFonts w:ascii="仿宋" w:hAnsi="仿宋" w:eastAsia="仿宋" w:cs="仿宋"/>
          <w:b/>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二十六、社会保障和就业支出(类)行政事业单位养老支出(款)机关事业单位职业年金缴费支出(项)</w:t>
      </w:r>
      <w:r>
        <w:rPr>
          <w:rFonts w:ascii="仿宋" w:hAnsi="仿宋" w:eastAsia="仿宋" w:cs="仿宋"/>
          <w:b/>
        </w:rPr>
        <w:t>：</w:t>
      </w:r>
      <w:r>
        <w:rPr>
          <w:rFonts w:hint="eastAsia" w:ascii="仿宋" w:hAnsi="仿宋" w:eastAsia="仿宋" w:cs="仿宋"/>
        </w:rPr>
        <w:t>反映机关事业单位实施养老保险制度由单位实际缴纳的职业年金支出。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二十七、社会保障和就业支出(类)行政事业单位养老支出(款)其他行政事业单位养老支出(项)</w:t>
      </w:r>
      <w:r>
        <w:rPr>
          <w:rFonts w:ascii="仿宋" w:hAnsi="仿宋" w:eastAsia="仿宋" w:cs="仿宋"/>
          <w:b/>
        </w:rPr>
        <w:t>：</w:t>
      </w:r>
      <w:r>
        <w:rPr>
          <w:rFonts w:hint="eastAsia" w:ascii="仿宋" w:hAnsi="仿宋" w:eastAsia="仿宋" w:cs="仿宋"/>
        </w:rPr>
        <w:t>反映除上述项目以外其他用于行政事业单位养老方面的支出。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二十八、卫生健康支出(类)公共卫生(款)突发公共卫生事件应急处理(项)</w:t>
      </w:r>
      <w:r>
        <w:rPr>
          <w:rFonts w:ascii="仿宋" w:hAnsi="仿宋" w:eastAsia="仿宋" w:cs="仿宋"/>
          <w:b/>
        </w:rPr>
        <w:t>：</w:t>
      </w:r>
      <w:r>
        <w:rPr>
          <w:rFonts w:hint="eastAsia" w:ascii="仿宋" w:hAnsi="仿宋" w:eastAsia="仿宋" w:cs="仿宋"/>
        </w:rPr>
        <w:t>反映用于突发公共卫生事件应急处理的支出。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二十九、住房保障支出(类)住房改革支出(款)住房公积金(项)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三十、住房保障支出(类)住房改革支出(款)提租补贴(项)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三十一、其他支出(类)其他支出(款)其他支出(项)</w:t>
      </w:r>
      <w:r>
        <w:rPr>
          <w:rFonts w:ascii="仿宋" w:hAnsi="仿宋" w:eastAsia="仿宋" w:cs="仿宋"/>
          <w:b/>
        </w:rPr>
        <w:t>：</w:t>
      </w:r>
      <w:r>
        <w:rPr>
          <w:rFonts w:hint="eastAsia" w:ascii="仿宋" w:hAnsi="仿宋" w:eastAsia="仿宋" w:cs="仿宋"/>
        </w:rPr>
        <w:t>反映除上述项目以外其他不能划分到具体功能科目中的支出项目。</w:t>
      </w:r>
    </w:p>
    <w:sectPr>
      <w:pgSz w:w="11906" w:h="16838"/>
      <w:pgMar w:top="1440" w:right="1080" w:bottom="1440" w:left="1080"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roman"/>
    <w:pitch w:val="default"/>
    <w:sig w:usb0="FFFFFFFF" w:usb1="E9FFFFFF"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roman"/>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DDc8oBAACc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1lW&#10;q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DDc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uFb6coBAACcAwAADgAAAGRycy9lMm9Eb2MueG1srVNNrtMwEN4jcQfL&#10;e+q0C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LahLyhx3OLAL9+/XX78uvz8SpbV&#10;81dZoT5AjYl3AVPT8MYPuDezH9CZiQ8q2vxFSgTjqO/5qq8cEhH50Xq1XlcYEhibL4jP7p+HCOmt&#10;9JZko6ERB1h05af3kMbUOSVXc/5WG1OGaNxfDsTMHpZ7H3vMVhr2w0Ro79sz8ulx9g11uOqUmHcO&#10;pc1rMhtxNvazcQxRH7qyR7kehNfHhE2U3nKFEXYqjEMr7KYFy1vx571k3f9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uFb6c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F36fm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KPXn8oBAACcAwAADgAAAGRycy9lMm9Eb2MueG1srVPNjtMwEL4j8Q6W&#10;79RpD2wV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KPXn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N7nM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f7gKsoBAACcAwAADgAAAGRycy9lMm9Eb2MueG1srVPNjtMwEL4j8Q6W&#10;79RpD6gb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f7gKs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U+CAck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ASVx3OLEL9+/XX78uvz8SpbV&#10;yyJRH6DGzIeAuWl44wdMz9JlP6AzMx9UtPmLnAjGEe18FVgOiYj8aL1arysMCYzNF8Rht+chQnor&#10;vSXZaGjECRZh+ek9pDF1TsnVnL/XxpQpGveXAzGzh916zFYa9sPU+N63Z+TT4/Ab6nDXKTHvHGqL&#10;/aXZiLOxn41jiPrQlUXK9SC8PiZsovSWK4ywU2GcWmE3bVheiz/vJev2V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hT4IByQEAAJ0DAAAOAAAAAAAAAAEAIAAAAB4BAABkcnMvZTJvRG9j&#10;LnhtbFBLBQYAAAAABgAGAFkBAABZ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tCGbf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FLFt8sBAACdAwAADgAAAGRycy9lMm9Eb2MueG1srVNLbtswEN0XyB0I&#10;7mPKKlA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BjehpMRygxM/f/92/vHr/PMr&#10;WRZvyyRR76HCzCePuXG4cwOmz35AZ2I+tMGkL3IiGEeBTxeB5RCJSI9W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PRSxbf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5fXgH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nJ9tssBAACdAwAADgAAAGRycy9lMm9Eb2MueG1srVPNjtMwEL4j8Q6W&#10;79RpWaE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e4CTeUOG5x4pfv3y4/fl1+fiXL&#10;6uVNlqgPUGPmfcDcNLzxA6bPfkBnZj6oaPMXORGMo8Dnq8BySETkR+vVel1hSGBsviA+e3geIqS3&#10;0luSjYZGnGARlp/eQxpT55Rczfk7bUyZonF/ORAze1jufewxW2nYDxOhvW/PyKfH4TfU4a5TYt45&#10;1DbvyWzE2djPxjFEfejKIuV6EF4fEzZRessVRtipME6tsJs2LK/Fn/eS9fB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pyfbb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QZirMwBAACdAwAADgAAAGRycy9lMm9Eb2MueG1srVPNjtMwEL4j7TtY&#10;vm+ddgW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g5vwmhLLDU78/P3b+cev88+v&#10;ZFnclEmi3kOFmQ8ec+Pwzg2YPvsBnYn50AaTvsiJYBwFPl0ElkMkIj0qV2VZYEhgbL4gPnt67gPE&#10;e+kMSUZNA04wC8uPHyCOqXNKqmbdndI6T1HbvxyImTws9T72mKw47IaJ0M41J+TT4/BranHXKdHv&#10;LWqb9mQ2wmzsZuPgg9p3eZFSPfBvDxGbyL2lCiPsVBinltlNG5bW4s97znr6qz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NBmKszAEAAJ0DAAAOAAAAAAAAAAEAIAAAAB4BAABkcnMvZTJv&#10;RG9jLnhtbFBLBQYAAAAABgAGAFkBAABc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rPr>
      <w:t>江苏省公安厅（机关）</w:t>
    </w:r>
    <w:r>
      <w:t>2022年度单位决算公开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wNWYwNGFmYzNiMTMwMzI4MzFhMzI2ZWRjOTFjMmMifQ=="/>
  </w:docVars>
  <w:rsids>
    <w:rsidRoot w:val="00000000"/>
    <w:rsid w:val="00064984"/>
    <w:rsid w:val="00071789"/>
    <w:rsid w:val="000C024B"/>
    <w:rsid w:val="000F12AB"/>
    <w:rsid w:val="001C31F9"/>
    <w:rsid w:val="002E63B1"/>
    <w:rsid w:val="00407CA7"/>
    <w:rsid w:val="00413AD8"/>
    <w:rsid w:val="004C0647"/>
    <w:rsid w:val="00671ED7"/>
    <w:rsid w:val="00672164"/>
    <w:rsid w:val="006732F1"/>
    <w:rsid w:val="007C0F2D"/>
    <w:rsid w:val="008322BB"/>
    <w:rsid w:val="00867423"/>
    <w:rsid w:val="008B5B05"/>
    <w:rsid w:val="009965EA"/>
    <w:rsid w:val="00A6752E"/>
    <w:rsid w:val="00B92181"/>
    <w:rsid w:val="00BD7F33"/>
    <w:rsid w:val="00C15920"/>
    <w:rsid w:val="00C82582"/>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252C7"/>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A90C5B"/>
    <w:rsid w:val="1CBE5E7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345F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386236"/>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9B3721"/>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D0397"/>
    <w:rsid w:val="51595CED"/>
    <w:rsid w:val="516445A0"/>
    <w:rsid w:val="518956A9"/>
    <w:rsid w:val="51E101BC"/>
    <w:rsid w:val="521D4F6D"/>
    <w:rsid w:val="523A416D"/>
    <w:rsid w:val="52490C2A"/>
    <w:rsid w:val="5253273C"/>
    <w:rsid w:val="525505B5"/>
    <w:rsid w:val="5261544F"/>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A7FCC"/>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35B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00E6E"/>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5E5CA6"/>
    <w:rsid w:val="6E7C11B5"/>
    <w:rsid w:val="6E7C32EF"/>
    <w:rsid w:val="6E7F556F"/>
    <w:rsid w:val="6E997C25"/>
    <w:rsid w:val="6E9F07E1"/>
    <w:rsid w:val="6EA14A30"/>
    <w:rsid w:val="6EA42846"/>
    <w:rsid w:val="6EB6105A"/>
    <w:rsid w:val="6EBA00D3"/>
    <w:rsid w:val="6EBD1212"/>
    <w:rsid w:val="6EC629FF"/>
    <w:rsid w:val="6EC7282F"/>
    <w:rsid w:val="6EC922AC"/>
    <w:rsid w:val="6ED21161"/>
    <w:rsid w:val="6F04413C"/>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2757</Words>
  <Characters>7652</Characters>
  <Paragraphs>501</Paragraphs>
  <TotalTime>2491</TotalTime>
  <ScaleCrop>false</ScaleCrop>
  <LinksUpToDate>false</LinksUpToDate>
  <CharactersWithSpaces>7672</CharactersWithSpaces>
  <Application>WPS Office_11.8.2.11473_F1E327BC-269C-435d-A152-05C5408002CA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Administrator</cp:lastModifiedBy>
  <cp:lastPrinted>2023-08-28T06:37:33Z</cp:lastPrinted>
  <dcterms:modified xsi:type="dcterms:W3CDTF">2023-08-30T00:42:24Z</dcterms:modified>
  <dc:title>部门决算公开</dc:title>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B64C8ED954D74D4AB783F0CA504EC6B5</vt:lpwstr>
  </property>
  <property fmtid="{D5CDD505-2E9C-101B-9397-08002B2CF9AE}" pid="5" name="KSOProductBuildVer">
    <vt:lpwstr>2052-11.8.2.11473</vt:lpwstr>
  </property>
  <property fmtid="{D5CDD505-2E9C-101B-9397-08002B2CF9AE}" pid="6" name="LastSaved">
    <vt:filetime>2021-04-15T00:00:00Z</vt:filetime>
  </property>
</Properties>
</file>