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2" w:hRule="atLeast"/>
        </w:trPr>
        <w:tc>
          <w:tcPr>
            <w:tcW w:w="10402" w:type="dxa"/>
            <w:tcBorders>
              <w:top w:val="nil"/>
              <w:left w:val="nil"/>
              <w:bottom w:val="nil"/>
              <w:right w:val="nil"/>
            </w:tcBorders>
          </w:tcPr>
          <w:p>
            <w:pPr>
              <w:pStyle w:val="8"/>
              <w:spacing w:line="360" w:lineRule="auto"/>
              <w:rPr>
                <w:rFonts w:hint="eastAsia" w:ascii="仿宋" w:hAnsi="仿宋" w:eastAsia="仿宋" w:cs="仿宋"/>
                <w:b/>
                <w:bCs/>
                <w:color w:val="FF0000"/>
                <w:sz w:val="22"/>
                <w:szCs w:val="22"/>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top"/>
          </w:tcPr>
          <w:p>
            <w:pPr>
              <w:ind w:right="284" w:rightChars="129"/>
              <w:jc w:val="center"/>
              <w:rPr>
                <w:rFonts w:hint="eastAsia" w:ascii="宋体" w:hAnsi="宋体" w:eastAsia="宋体" w:cs="宋体"/>
                <w:b/>
                <w:bCs/>
                <w:sz w:val="52"/>
                <w:szCs w:val="52"/>
                <w:lang w:val="en-US" w:eastAsia="zh-CN"/>
              </w:rPr>
            </w:pPr>
            <w:r>
              <w:rPr>
                <w:rFonts w:ascii="宋体" w:hAnsi="宋体" w:eastAsia="宋体" w:cs="宋体"/>
                <w:b/>
                <w:sz w:val="52"/>
              </w:rPr>
              <w:t>2022年度江苏省看守所单位决算公开</w:t>
            </w:r>
          </w:p>
        </w:tc>
      </w:tr>
    </w:tbl>
    <w:p>
      <w:pPr>
        <w:ind w:right="284" w:rightChars="129"/>
        <w:jc w:val="both"/>
        <w:rPr>
          <w:rFonts w:hint="eastAsia" w:ascii="宋体" w:hAnsi="宋体" w:eastAsia="宋体" w:cs="宋体"/>
          <w:b/>
          <w:bCs/>
          <w:sz w:val="52"/>
          <w:szCs w:val="52"/>
        </w:rPr>
        <w:sectPr>
          <w:headerReference r:id="rId5" w:type="first"/>
          <w:headerReference r:id="rId4" w:type="default"/>
          <w:pgSz w:w="11906" w:h="16838"/>
          <w:pgMar w:top="1580" w:right="700" w:bottom="770" w:left="1020" w:header="170" w:footer="280" w:gutter="0"/>
          <w:pgBorders>
            <w:top w:val="none" w:sz="0" w:space="0"/>
            <w:left w:val="none" w:sz="0" w:space="0"/>
            <w:bottom w:val="none" w:sz="0" w:space="0"/>
            <w:right w:val="none"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outlineLvl w:val="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outlineLvl w:val="0"/>
        <w:rPr>
          <w:rFonts w:hint="eastAsia" w:ascii="黑体" w:hAnsi="黑体" w:eastAsia="黑体" w:cs="黑体"/>
          <w:b w:val="0"/>
          <w:bCs w:val="0"/>
        </w:rPr>
      </w:pPr>
      <w:r>
        <w:rPr>
          <w:rFonts w:hint="eastAsia" w:ascii="黑体" w:hAnsi="黑体" w:eastAsia="黑体" w:cs="黑体"/>
          <w:b w:val="0"/>
          <w:bCs w:val="0"/>
        </w:rPr>
        <w:t xml:space="preserve">第一部分 </w:t>
      </w:r>
      <w:r>
        <w:rPr>
          <w:rFonts w:hint="eastAsia" w:ascii="黑体" w:hAnsi="黑体" w:eastAsia="黑体" w:cs="黑体"/>
          <w:b w:val="0"/>
          <w:bCs w:val="0"/>
          <w:lang w:val="en-US" w:eastAsia="zh-CN"/>
        </w:rPr>
        <w:t>单位</w:t>
      </w:r>
      <w:r>
        <w:rPr>
          <w:rFonts w:hint="eastAsia" w:ascii="黑体" w:hAnsi="黑体" w:eastAsia="黑体" w:cs="黑体"/>
          <w:b w:val="0"/>
          <w:bCs w:val="0"/>
        </w:rPr>
        <w:t>概况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机构设置及决算单位构成情况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w:t>
      </w:r>
      <w:r>
        <w:rPr>
          <w:rFonts w:hint="eastAsia" w:ascii="仿宋" w:hAnsi="仿宋" w:eastAsia="仿宋" w:cs="仿宋"/>
          <w:lang w:eastAsia="zh-CN"/>
        </w:rPr>
        <w:t>202</w:t>
      </w:r>
      <w:r>
        <w:rPr>
          <w:rFonts w:hint="eastAsia" w:ascii="仿宋" w:hAnsi="仿宋" w:eastAsia="仿宋" w:cs="仿宋"/>
          <w:lang w:val="en-US" w:eastAsia="zh-CN"/>
        </w:rPr>
        <w:t>2</w:t>
      </w:r>
      <w:r>
        <w:rPr>
          <w:rFonts w:hint="eastAsia" w:ascii="仿宋" w:hAnsi="仿宋" w:eastAsia="仿宋" w:cs="仿宋"/>
        </w:rPr>
        <w:t>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黑体" w:hAnsi="黑体" w:eastAsia="黑体" w:cs="黑体"/>
          <w:b w:val="0"/>
          <w:bCs w:val="0"/>
        </w:rPr>
      </w:pPr>
      <w:r>
        <w:rPr>
          <w:rFonts w:hint="eastAsia" w:ascii="黑体" w:hAnsi="黑体" w:eastAsia="黑体" w:cs="黑体"/>
          <w:b w:val="0"/>
          <w:bCs w:val="0"/>
          <w:lang w:val="en-US" w:eastAsia="zh-CN"/>
        </w:rPr>
        <w:t>第二部分 2022年度</w:t>
      </w:r>
      <w:r>
        <w:rPr>
          <w:rFonts w:ascii="黑体" w:hAnsi="黑体" w:eastAsia="黑体" w:cs="黑体"/>
        </w:rPr>
        <w:t>单位决算表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七、一般公共预算支出决算表（功能科目）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w:t>
      </w:r>
      <w:r>
        <w:rPr>
          <w:rFonts w:hint="eastAsia" w:ascii="仿宋" w:hAnsi="仿宋" w:eastAsia="仿宋" w:cs="仿宋"/>
          <w:lang w:val="en-US" w:eastAsia="zh-CN"/>
        </w:rPr>
        <w:t>财政拨款“三公”经费、会议费和培训费支出决算表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default" w:ascii="仿宋" w:hAnsi="仿宋" w:eastAsia="仿宋" w:cs="仿宋"/>
          <w:lang w:val="en-US" w:eastAsia="zh-CN"/>
        </w:rPr>
      </w:pPr>
      <w:r>
        <w:rPr>
          <w:rFonts w:hint="eastAsia" w:ascii="仿宋" w:hAnsi="仿宋" w:eastAsia="仿宋" w:cs="仿宋"/>
        </w:rPr>
        <w:t>十一、</w:t>
      </w:r>
      <w:r>
        <w:rPr>
          <w:rFonts w:hint="eastAsia" w:ascii="仿宋" w:hAnsi="仿宋" w:eastAsia="仿宋" w:cs="仿宋"/>
          <w:lang w:val="en-US" w:eastAsia="zh-CN"/>
        </w:rPr>
        <w:t>国有资本经营预算支出决算表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二</w:t>
      </w:r>
      <w:r>
        <w:rPr>
          <w:rFonts w:hint="eastAsia" w:ascii="仿宋" w:hAnsi="仿宋" w:eastAsia="仿宋" w:cs="仿宋"/>
        </w:rPr>
        <w:t>、</w:t>
      </w:r>
      <w:r>
        <w:rPr>
          <w:rFonts w:hint="eastAsia" w:ascii="仿宋" w:hAnsi="仿宋" w:eastAsia="仿宋" w:cs="仿宋"/>
          <w:lang w:val="en-US" w:eastAsia="zh-CN"/>
        </w:rPr>
        <w:t>财政拨款</w:t>
      </w:r>
      <w:r>
        <w:rPr>
          <w:rFonts w:hint="eastAsia" w:ascii="仿宋" w:hAnsi="仿宋" w:eastAsia="仿宋" w:cs="仿宋"/>
        </w:rPr>
        <w:t>机关运行经费支出决算表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三</w:t>
      </w:r>
      <w:r>
        <w:rPr>
          <w:rFonts w:hint="eastAsia" w:ascii="仿宋" w:hAnsi="仿宋" w:eastAsia="仿宋" w:cs="仿宋"/>
        </w:rPr>
        <w:t>、政府采购支出决算表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黑体" w:hAnsi="黑体" w:eastAsia="黑体" w:cs="黑体"/>
          <w:b w:val="0"/>
          <w:bCs w:val="0"/>
          <w:lang w:val="en-US" w:eastAsia="zh-CN"/>
        </w:rPr>
      </w:pPr>
      <w:r>
        <w:rPr>
          <w:rFonts w:hint="eastAsia" w:ascii="黑体" w:hAnsi="黑体" w:eastAsia="黑体" w:cs="黑体"/>
          <w:b w:val="0"/>
          <w:bCs w:val="0"/>
          <w:lang w:val="en-US" w:eastAsia="zh-CN"/>
        </w:rPr>
        <w:t>第三部分 2022年度</w:t>
      </w:r>
      <w:r>
        <w:rPr>
          <w:rFonts w:ascii="黑体" w:hAnsi="黑体" w:eastAsia="黑体" w:cs="黑体"/>
        </w:rPr>
        <w:t>单位决算情况说明</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default" w:ascii="仿宋" w:hAnsi="仿宋" w:eastAsia="仿宋" w:cs="仿宋"/>
          <w:b/>
          <w:bCs/>
          <w:color w:val="000000"/>
          <w:sz w:val="30"/>
          <w:szCs w:val="30"/>
          <w:lang w:val="en-US" w:eastAsia="zh-CN" w:bidi="ar"/>
        </w:rPr>
      </w:pPr>
      <w:r>
        <w:rPr>
          <w:rFonts w:hint="eastAsia" w:ascii="黑体" w:hAnsi="黑体" w:eastAsia="黑体" w:cs="黑体"/>
          <w:b w:val="0"/>
          <w:bCs w:val="0"/>
          <w:lang w:val="en-US" w:eastAsia="zh-CN"/>
        </w:rPr>
        <w:t>第四部分 名词解释</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sz="0" w:space="0"/>
            <w:left w:val="none" w:sz="0" w:space="0"/>
            <w:bottom w:val="none" w:sz="0" w:space="0"/>
            <w:right w:val="none"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outlineLvl w:val="0"/>
        <w:rPr>
          <w:rFonts w:hint="eastAsia" w:ascii="宋体" w:hAnsi="宋体" w:eastAsia="宋体" w:cs="宋体"/>
          <w:b/>
          <w:bCs/>
        </w:rPr>
      </w:pPr>
      <w:r>
        <w:rPr>
          <w:rFonts w:hint="eastAsia" w:ascii="宋体" w:hAnsi="宋体" w:eastAsia="宋体" w:cs="宋体"/>
          <w:b/>
          <w:bCs/>
        </w:rPr>
        <w:t>第一部分</w:t>
      </w:r>
      <w:r>
        <w:rPr>
          <w:rFonts w:hint="eastAsia" w:ascii="宋体" w:hAnsi="宋体" w:eastAsia="宋体" w:cs="宋体"/>
          <w:b/>
          <w:bCs/>
          <w:lang w:val="en-US" w:eastAsia="zh-CN"/>
        </w:rPr>
        <w:t xml:space="preserve"> </w:t>
      </w:r>
      <w:r>
        <w:rPr>
          <w:rFonts w:hint="eastAsia" w:ascii="宋体" w:hAnsi="宋体" w:eastAsia="宋体" w:cs="宋体"/>
          <w:b/>
          <w:bCs/>
        </w:rPr>
        <w:t>单位概况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负责羁押中央和省政法机关侦办的重要专案对象，同时配合做好省纪委、省监察委、省公安厅督办的重大政治、经济类案件要犯的羁押任务。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二、</w:t>
      </w:r>
      <w:r>
        <w:rPr>
          <w:rFonts w:ascii="黑体" w:hAnsi="黑体" w:eastAsia="黑体" w:cs="黑体"/>
        </w:rPr>
        <w:t>单位</w:t>
      </w:r>
      <w:r>
        <w:rPr>
          <w:rFonts w:hint="eastAsia" w:ascii="黑体" w:hAnsi="黑体" w:eastAsia="黑体" w:cs="黑体"/>
          <w:b w:val="0"/>
          <w:bCs w:val="0"/>
        </w:rPr>
        <w:t>机构设置及决算单位构成情况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w:t>
      </w:r>
      <w:r>
        <w:rPr>
          <w:rFonts w:ascii="仿宋" w:hAnsi="仿宋" w:eastAsia="仿宋" w:cs="仿宋"/>
        </w:rPr>
        <w:t>本单位内设机构包括根据单位职责分工，本单位内设机构包括秘书科、管教科、安全科、勤务保障科。本单位无下属单位。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三、</w:t>
      </w:r>
      <w:r>
        <w:rPr>
          <w:rFonts w:hint="eastAsia" w:ascii="黑体" w:hAnsi="黑体" w:eastAsia="黑体" w:cs="黑体"/>
          <w:b w:val="0"/>
          <w:bCs w:val="0"/>
          <w:lang w:eastAsia="zh-CN"/>
        </w:rPr>
        <w:t>2022</w:t>
      </w:r>
      <w:r>
        <w:rPr>
          <w:rFonts w:hint="eastAsia" w:ascii="黑体" w:hAnsi="黑体" w:eastAsia="黑体" w:cs="黑体"/>
          <w:b w:val="0"/>
          <w:bCs w:val="0"/>
        </w:rPr>
        <w:t>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2022年，江苏省看守所（以下简称“省看”）在厅党委的坚强领导和上级业务部门的正确指导下，坚持以习近平新时代中国特色社会主义思想为指导，深入学习贯彻党的二十大精神，锚定党的二十大安保维稳主线，把握江苏公安“省级主责、市县主战、派出所主防”运行机制改革方向，聚焦疫情防控、风险管控、基础保障、品牌创新、队伍建设五大领域，以奋发有为的精神状态和时时放心不下的责任意识，纵深推动省看守所“5556”工作体系建设落地生根，切实以新安全格局保障新发展格局、以高水平安全保障高质量发展。</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一、健全更加科学的疫情防控体系，奋力推进监所防疫新实践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面对严峻复杂的疫情形势，省看始终坚持在充分总结防疫经验成效的基础上，科学实行梯次防控等级和网格化管理模式，先后5次启动全封闭管理，累计封闭231天，最长连续封闭85天，高效应对了多轮疫情冲击，逐步形成了公安监所抗疫“江苏省看模式”。一是首抓思想引导。通过思想动员12次、纪律提醒58次、谈心谈话86人次三管齐下的方式，进一步引导了全警始终绷紧疫情防控这根线，避免了麻痹思想、厌战情绪、侥幸心理和松劲心态等不良思想在队伍中冒头蔓延。二是严抓管控措施。坚持“人”“物”“环境”同防同控，严格落实21天过渡隔离和每日核酸检测、消杀等防疫措施，采取远程提审、提讯、会见、开庭，实现要犯防疫闭环运行。三是实抓后勤保障。成立24小时待命机动服务队，树立打持久战的前瞻思维，加大力度采购药品、医用口罩、防护服等防疫物资40余万元。开通封闭执勤免费夜宵点购小程序，组织参战人员过集体生日、包水饺、跳健身操等文娱活动32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二、构建更加严密的安保维稳体系，不断打造安全监管新高地</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在专案大案要犯增多、安保维稳任务叠加、防疫形势严峻复杂、矛盾风险隐患交织的艰难形势下，以“护航二十大、争创平安所”专项行动为牵引，统筹开展安全隐患大排查、监室秩序大整顿、应急处突大演练、健康风险大起底、服务诉讼大保障五大行动，推进要犯管理工作向系统化、精细化迈进。一是动态排查安全隐患。开展1000余人次谈话教育，88人次精准量化风险评估，管控针对性、实效性显著提升。二是深入整顿监室秩序。统筹组织在押人员应知应会考试36次、队列训练比武12次、文体活动考核10次、内务卫生检查28次、集中清监行动26次，在押人员身份意识、规矩意识和纪律意识不断强化。三是全面加强实战演练。按照“1、3、5分钟”快速响应机制，开展16次全要素、全流程、全方位应急处突演练。四是精准摸排健康风险。邀请省人民医院、南医大二附院的医疗专家来所坐诊6次，召开警医联席会议42次，做到一人一策、精准治疗。五是全力服务保障诉讼。完善线上线下办案讯问、律师会见预约机制，研究制定疫情封闭期间收押工作方案，深化“互联网+”手段，为办案单位和律师提供远程视频提审会见开庭系统。</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三、重塑更加精准的基础保障体系，切实提升本质安全新水平</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是强化制度保障。坚持抓源治本，从要犯监管、疫情防控、内部安全、队伍管理四个维度出发，制定出台《省看守所“特殊学校”学习手册》《省看守所疫情感染应急处置预案》《江苏省看守所分散采购办法》等，健全了制度机制，不断形成科学、严密、高效的监所制度体系。二是强化监督保障。建立健全“精准督察”体系，灵活运用“小巡察大评议”“谈心访情送温暖”等机制载体，实体化运作纪律作风工作专班和督察专班，全面强化了思想引导、风险摸排、制度执行和监督约束，省看特色“大监督”格局逐步建立完善。三是强化硬件保障。圆满完成省看守所基础设施改造“2.13”工程，消除了建所以来各类基础设施安全隐患。充分运用智慧化手段对AB门进行改造，实现无死角可视监控、人员自动身份核验、远程可视对讲等功能，切实提升了监所安全保障系数。</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四、探索更加优质的品牌创新体系，着力培育现代发展新动能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是持续深化“特殊学校”建设。全面提升了对在押人员的思想转化和教育改造能力，实现了执法质效和管理水平的跃升。二是不断擦亮智慧监管品牌。成功优化升级了综合勤务应用平台4项模块8大功能，打造在押人员生命体征监测网，升级完善监室数据智能交互终端，，切实打造信息共享、岗位联动、数据牵引、执法规范的智慧监所、数字监所。三是着力提升医疗保障质效。充分利用协作医疗优势资源，开通高效快捷的“绿色通道”，做到一键发起、整体联动。四是全力打造党建样板集群。全力构建学、宣、管、建、联功能于一体的智慧党建新模式，优化完善“清河•铸魂”论坛载体，建立完善“小巡察大评议”监督管理机制，实现了组织和个人的双向监督、精准监督、全面监督。五是全面创建美丽警营品牌。顺利完成了地下管网、消防系统改造、房屋结构加固、院内道路修复、绿化美化等项目工程，着力构建警营环境美。走访慰问结对帮扶困难学生，全力打造队伍形象美。帮助解决各类实际困难42人次，不断强化人文关怀美。</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五、完善更加有力的队伍管理体系，持续书写从严治警新答卷</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是突出政治统领。严格执行“第一议题”制度、“周三理论学习日”和党的二十大精神“五个一”学习机制，常态化推进肃清流毒影响工作，持续巩固队伍教育整顿成果。二是锤炼实战本领。成立3个临时党小组，组建青年民警突击队、应急处突专业队2支队伍，不断提升实战攻坚硬核实力。三是严明纪律约束。严格遵守有关“人车枪酒赌毒密网”的纪律要求、一级加强勤务响应规范和疫情封闭管理规定，建立健全单位直管+家庭协管的联合监督管理模式。四是强化暖警爱警。政治上保持关怀，思想上重点关注，工作上加强关心，生活上持续关爱。</w:t>
      </w:r>
    </w:p>
    <w:p>
      <w:pPr>
        <w:pStyle w:val="8"/>
        <w:spacing w:line="235" w:lineRule="auto"/>
        <w:ind w:left="669" w:leftChars="300" w:right="2414" w:hanging="9" w:firstLineChars="0"/>
        <w:jc w:val="both"/>
        <w:rPr>
          <w:rFonts w:hint="eastAsia" w:ascii="仿宋" w:hAnsi="仿宋" w:eastAsia="仿宋" w:cs="仿宋"/>
        </w:rPr>
        <w:sectPr>
          <w:footerReference r:id="rId7" w:type="default"/>
          <w:pgSz w:w="11906" w:h="16838"/>
          <w:pgMar w:top="1580" w:right="700" w:bottom="770" w:left="1020" w:header="283"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outlineLvl w:val="0"/>
        <w:rPr>
          <w:rFonts w:hint="eastAsia" w:ascii="宋体" w:hAnsi="宋体" w:eastAsia="宋体" w:cs="宋体"/>
          <w:b/>
          <w:bCs/>
          <w:sz w:val="36"/>
          <w:szCs w:val="36"/>
          <w:lang w:val="en-US" w:eastAsia="zh-CN"/>
        </w:rPr>
      </w:pPr>
      <w:r>
        <w:rPr>
          <w:rFonts w:hint="eastAsia" w:ascii="宋体" w:hAnsi="宋体" w:eastAsia="宋体" w:cs="宋体"/>
          <w:b/>
          <w:bCs/>
          <w:sz w:val="36"/>
          <w:szCs w:val="36"/>
        </w:rPr>
        <w:t>第二部分</w:t>
      </w:r>
    </w:p>
    <w:p>
      <w:pPr>
        <w:pStyle w:val="21"/>
        <w:widowControl w:val="0"/>
        <w:tabs>
          <w:tab w:val="left" w:pos="1609"/>
        </w:tabs>
        <w:suppressAutoHyphens/>
        <w:bidi w:val="0"/>
        <w:spacing w:before="12" w:after="0" w:line="300" w:lineRule="auto"/>
        <w:ind w:left="340" w:right="567" w:firstLine="0"/>
        <w:jc w:val="center"/>
        <w:rPr>
          <w:rFonts w:hint="eastAsia" w:ascii="宋体" w:hAnsi="宋体" w:eastAsia="宋体" w:cs="宋体"/>
          <w:b/>
          <w:bCs/>
          <w:sz w:val="36"/>
          <w:szCs w:val="36"/>
        </w:rPr>
      </w:pPr>
      <w:r>
        <w:rPr>
          <w:rFonts w:hint="eastAsia" w:ascii="宋体" w:hAnsi="宋体" w:eastAsia="宋体" w:cs="宋体"/>
          <w:b/>
          <w:bCs/>
          <w:sz w:val="36"/>
          <w:szCs w:val="36"/>
          <w:u w:val="none"/>
        </w:rPr>
        <w:t>江苏省看守所</w:t>
      </w:r>
    </w:p>
    <w:p>
      <w:pPr>
        <w:pStyle w:val="21"/>
        <w:widowControl w:val="0"/>
        <w:tabs>
          <w:tab w:val="left" w:pos="1609"/>
        </w:tabs>
        <w:suppressAutoHyphens/>
        <w:bidi w:val="0"/>
        <w:spacing w:before="12" w:after="0" w:line="300" w:lineRule="auto"/>
        <w:ind w:left="340" w:right="567" w:firstLine="0"/>
        <w:jc w:val="center"/>
        <w:outlineLvl w:val="1"/>
        <w:rPr>
          <w:rFonts w:hint="eastAsia" w:ascii="宋体" w:hAnsi="宋体" w:eastAsia="宋体" w:cs="宋体"/>
          <w:b/>
          <w:bCs/>
          <w:sz w:val="36"/>
          <w:szCs w:val="36"/>
        </w:rPr>
      </w:pPr>
      <w:r>
        <w:rPr>
          <w:rFonts w:hint="eastAsia" w:ascii="宋体" w:hAnsi="宋体" w:eastAsia="宋体" w:cs="宋体"/>
          <w:b/>
          <w:bCs/>
          <w:sz w:val="36"/>
          <w:szCs w:val="36"/>
          <w:lang w:eastAsia="zh-CN"/>
        </w:rPr>
        <w:t>2022</w:t>
      </w:r>
      <w:r>
        <w:rPr>
          <w:rFonts w:hint="eastAsia" w:ascii="宋体" w:hAnsi="宋体" w:eastAsia="宋体" w:cs="宋体"/>
          <w:b/>
          <w:bCs/>
          <w:sz w:val="36"/>
          <w:szCs w:val="36"/>
        </w:rPr>
        <w:t>年度</w:t>
      </w:r>
      <w:r>
        <w:rPr>
          <w:rFonts w:hint="eastAsia" w:ascii="宋体" w:hAnsi="宋体" w:eastAsia="宋体" w:cs="宋体"/>
          <w:b/>
          <w:bCs/>
          <w:sz w:val="36"/>
          <w:szCs w:val="36"/>
          <w:lang w:val="en-US" w:eastAsia="zh-CN"/>
        </w:rPr>
        <w:t>单位</w:t>
      </w:r>
      <w:r>
        <w:rPr>
          <w:rFonts w:ascii="宋体" w:hAnsi="宋体" w:eastAsia="宋体" w:cs="宋体"/>
          <w:b/>
          <w:sz w:val="36"/>
        </w:rPr>
        <w:t>决算表</w:t>
      </w:r>
    </w:p>
    <w:tbl>
      <w:tblPr>
        <w:tblStyle w:val="12"/>
        <w:tblW w:w="10447" w:type="dxa"/>
        <w:jc w:val="center"/>
        <w:tblLayout w:type="fixed"/>
        <w:tblCellMar>
          <w:top w:w="0" w:type="dxa"/>
          <w:left w:w="108" w:type="dxa"/>
          <w:bottom w:w="0" w:type="dxa"/>
          <w:right w:w="108" w:type="dxa"/>
        </w:tblCellMar>
      </w:tblPr>
      <w:tblGrid>
        <w:gridCol w:w="3468"/>
        <w:gridCol w:w="1777"/>
        <w:gridCol w:w="2035"/>
        <w:gridCol w:w="1341"/>
        <w:gridCol w:w="1826"/>
      </w:tblGrid>
      <w:tr>
        <w:tblPrEx>
          <w:tblCellMar>
            <w:top w:w="0" w:type="dxa"/>
            <w:left w:w="108" w:type="dxa"/>
            <w:bottom w:w="0" w:type="dxa"/>
            <w:right w:w="108" w:type="dxa"/>
          </w:tblCellMar>
        </w:tblPrEx>
        <w:trPr>
          <w:trHeight w:val="544" w:hRule="atLeast"/>
          <w:jc w:val="center"/>
        </w:trPr>
        <w:tc>
          <w:tcPr>
            <w:tcW w:w="10447" w:type="dxa"/>
            <w:gridSpan w:val="5"/>
          </w:tcPr>
          <w:p>
            <w:pPr>
              <w:pageBreakBefore/>
              <w:widowControl w:val="0"/>
              <w:ind w:left="0" w:right="0" w:firstLine="0"/>
              <w:jc w:val="center"/>
              <w:textAlignment w:val="auto"/>
              <w:rPr>
                <w:rFonts w:hint="eastAsia" w:ascii="仿宋" w:hAnsi="仿宋" w:eastAsia="仿宋" w:cs="仿宋"/>
                <w:b/>
                <w:bCs/>
                <w:color w:val="000000"/>
              </w:rPr>
            </w:pPr>
            <w:r>
              <w:rPr>
                <w:rFonts w:hint="eastAsia" w:ascii="宋体" w:hAnsi="宋体" w:eastAsia="宋体" w:cs="宋体"/>
                <w:b/>
                <w:bCs/>
                <w:color w:val="000000"/>
                <w:sz w:val="36"/>
                <w:szCs w:val="36"/>
                <w:lang w:eastAsia="ar-SA"/>
              </w:rPr>
              <w:t>收入支出决算总表</w:t>
            </w:r>
          </w:p>
        </w:tc>
      </w:tr>
      <w:tr>
        <w:tblPrEx>
          <w:tblCellMar>
            <w:top w:w="0" w:type="dxa"/>
            <w:left w:w="108" w:type="dxa"/>
            <w:bottom w:w="0" w:type="dxa"/>
            <w:right w:w="108" w:type="dxa"/>
          </w:tblCellMar>
        </w:tblPrEx>
        <w:trPr>
          <w:trHeight w:val="348" w:hRule="atLeast"/>
          <w:jc w:val="center"/>
        </w:trPr>
        <w:tc>
          <w:tcPr>
            <w:tcW w:w="3468" w:type="dxa"/>
          </w:tcPr>
          <w:p>
            <w:pPr>
              <w:widowControl w:val="0"/>
              <w:ind w:left="0" w:right="0" w:firstLine="0"/>
              <w:jc w:val="left"/>
              <w:textAlignment w:val="auto"/>
              <w:rPr>
                <w:rFonts w:hint="eastAsia" w:ascii="仿宋" w:hAnsi="仿宋" w:eastAsia="仿宋" w:cs="仿宋"/>
                <w:color w:val="000000"/>
                <w:sz w:val="20"/>
              </w:rPr>
            </w:pPr>
          </w:p>
        </w:tc>
        <w:tc>
          <w:tcPr>
            <w:tcW w:w="1777" w:type="dxa"/>
          </w:tcPr>
          <w:p>
            <w:pPr>
              <w:widowControl w:val="0"/>
              <w:ind w:left="0" w:right="0" w:firstLine="0"/>
              <w:jc w:val="left"/>
              <w:textAlignment w:val="auto"/>
              <w:rPr>
                <w:rFonts w:hint="eastAsia" w:ascii="仿宋" w:hAnsi="仿宋" w:eastAsia="仿宋" w:cs="仿宋"/>
                <w:color w:val="000000"/>
                <w:sz w:val="20"/>
              </w:rPr>
            </w:pPr>
          </w:p>
        </w:tc>
        <w:tc>
          <w:tcPr>
            <w:tcW w:w="5202" w:type="dxa"/>
            <w:gridSpan w:val="3"/>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r>
      <w:tr>
        <w:tblPrEx>
          <w:tblCellMar>
            <w:top w:w="0" w:type="dxa"/>
            <w:left w:w="108" w:type="dxa"/>
            <w:bottom w:w="0" w:type="dxa"/>
            <w:right w:w="108" w:type="dxa"/>
          </w:tblCellMar>
        </w:tblPrEx>
        <w:trPr>
          <w:trHeight w:val="333" w:hRule="atLeast"/>
          <w:jc w:val="center"/>
        </w:trPr>
        <w:tc>
          <w:tcPr>
            <w:tcW w:w="7280"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color w:val="000000"/>
                <w:sz w:val="22"/>
                <w:szCs w:val="22"/>
                <w:lang w:eastAsia="ar-SA"/>
              </w:rPr>
              <w:t>江苏省看守所</w:t>
            </w:r>
          </w:p>
        </w:tc>
        <w:tc>
          <w:tcPr>
            <w:tcW w:w="3167"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r>
      <w:tr>
        <w:tblPrEx>
          <w:tblCellMar>
            <w:top w:w="0" w:type="dxa"/>
            <w:left w:w="108" w:type="dxa"/>
            <w:bottom w:w="0" w:type="dxa"/>
            <w:right w:w="108" w:type="dxa"/>
          </w:tblCellMar>
        </w:tblPrEx>
        <w:trPr>
          <w:trHeight w:val="450" w:hRule="atLeast"/>
          <w:jc w:val="center"/>
        </w:trPr>
        <w:tc>
          <w:tcPr>
            <w:tcW w:w="5245"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20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r>
      <w:tr>
        <w:tblPrEx>
          <w:tblCellMar>
            <w:top w:w="0" w:type="dxa"/>
            <w:left w:w="108" w:type="dxa"/>
            <w:bottom w:w="0" w:type="dxa"/>
            <w:right w:w="108" w:type="dxa"/>
          </w:tblCellMar>
        </w:tblPrEx>
        <w:trPr>
          <w:trHeight w:val="39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2,940.16</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2,383.08</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107.91</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395.92</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454" w:hRule="exac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2,940.16</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2,886.91</w:t>
            </w:r>
          </w:p>
        </w:tc>
      </w:tr>
      <w:tr>
        <w:tblPrEx>
          <w:tblCellMar>
            <w:top w:w="0" w:type="dxa"/>
            <w:left w:w="108" w:type="dxa"/>
            <w:bottom w:w="0" w:type="dxa"/>
            <w:right w:w="108" w:type="dxa"/>
          </w:tblCellMar>
        </w:tblPrEx>
        <w:trPr>
          <w:trHeight w:val="413"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使用非财政拨款结余</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结余分配</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p>
        </w:tc>
      </w:tr>
      <w:tr>
        <w:tblPrEx>
          <w:tblCellMar>
            <w:top w:w="0" w:type="dxa"/>
            <w:left w:w="108" w:type="dxa"/>
            <w:bottom w:w="0" w:type="dxa"/>
            <w:right w:w="108" w:type="dxa"/>
          </w:tblCellMar>
        </w:tblPrEx>
        <w:trPr>
          <w:trHeight w:val="413"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年初结转和结余</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5.20</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年末结转和结余</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58.45</w:t>
            </w:r>
          </w:p>
        </w:tc>
      </w:tr>
      <w:tr>
        <w:tblPrEx>
          <w:tblCellMar>
            <w:top w:w="0" w:type="dxa"/>
            <w:left w:w="108" w:type="dxa"/>
            <w:bottom w:w="0" w:type="dxa"/>
            <w:right w:w="108" w:type="dxa"/>
          </w:tblCellMar>
        </w:tblPrEx>
        <w:trPr>
          <w:trHeight w:val="383" w:hRule="atLeast"/>
          <w:jc w:val="center"/>
        </w:trPr>
        <w:tc>
          <w:tcPr>
            <w:tcW w:w="3468"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777"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3376" w:type="dxa"/>
            <w:gridSpan w:val="2"/>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826"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r>
      <w:tr>
        <w:tblPrEx>
          <w:tblCellMar>
            <w:top w:w="0" w:type="dxa"/>
            <w:left w:w="108" w:type="dxa"/>
            <w:bottom w:w="0" w:type="dxa"/>
            <w:right w:w="108" w:type="dxa"/>
          </w:tblCellMar>
        </w:tblPrEx>
        <w:trPr>
          <w:cantSplit/>
          <w:trHeight w:val="454" w:hRule="exac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2,945.36</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2,945.36</w:t>
            </w:r>
          </w:p>
        </w:tc>
      </w:tr>
    </w:tbl>
    <w:p>
      <w:pPr>
        <w:widowControl w:val="0"/>
        <w:suppressAutoHyphens/>
        <w:bidi w:val="0"/>
        <w:spacing w:before="66" w:after="0"/>
        <w:ind w:left="0" w:leftChars="0" w:right="0" w:rightChars="0" w:firstLine="0" w:firstLineChars="0"/>
        <w:jc w:val="both"/>
        <w:rPr>
          <w:rFonts w:hint="eastAsia" w:ascii="仿宋" w:hAnsi="仿宋" w:eastAsia="仿宋" w:cs="仿宋"/>
          <w:b w:val="0"/>
          <w:bCs w:val="0"/>
          <w:color w:val="000000"/>
          <w:sz w:val="22"/>
          <w:szCs w:val="22"/>
          <w:lang w:val="en-US" w:eastAsia="zh-CN"/>
        </w:rPr>
      </w:pPr>
      <w:r>
        <w:rPr>
          <w:rFonts w:hint="eastAsia" w:ascii="仿宋" w:hAnsi="仿宋" w:eastAsia="仿宋" w:cs="仿宋"/>
          <w:b w:val="0"/>
          <w:bCs w:val="0"/>
          <w:color w:val="000000"/>
          <w:sz w:val="22"/>
          <w:szCs w:val="22"/>
          <w:lang w:val="en-US" w:eastAsia="zh-CN"/>
        </w:rPr>
        <w:t>注：本表反映本年度的总收支和年末结转结余情况。本表金额单位转换时可能存在尾数误差。</w:t>
      </w:r>
    </w:p>
    <w:p>
      <w:pPr>
        <w:widowControl w:val="0"/>
        <w:suppressAutoHyphens/>
        <w:bidi w:val="0"/>
        <w:spacing w:before="66" w:after="0"/>
        <w:ind w:right="0"/>
        <w:jc w:val="both"/>
        <w:rPr>
          <w:rFonts w:hint="eastAsia" w:ascii="仿宋" w:hAnsi="仿宋" w:eastAsia="仿宋" w:cs="仿宋"/>
          <w:b w:val="0"/>
          <w:bCs w:val="0"/>
          <w:color w:val="000000"/>
          <w:sz w:val="22"/>
          <w:szCs w:val="22"/>
        </w:rPr>
        <w:sectPr>
          <w:footerReference r:id="rId8"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6660" w:type="dxa"/>
        <w:jc w:val="center"/>
        <w:tblLayout w:type="fixed"/>
        <w:tblCellMar>
          <w:top w:w="0" w:type="dxa"/>
          <w:left w:w="108" w:type="dxa"/>
          <w:bottom w:w="0" w:type="dxa"/>
          <w:right w:w="108" w:type="dxa"/>
        </w:tblCellMar>
      </w:tblPr>
      <w:tblGrid>
        <w:gridCol w:w="1201"/>
        <w:gridCol w:w="3156"/>
        <w:gridCol w:w="1716"/>
        <w:gridCol w:w="1728"/>
        <w:gridCol w:w="1686"/>
        <w:gridCol w:w="1503"/>
        <w:gridCol w:w="1704"/>
        <w:gridCol w:w="1263"/>
        <w:gridCol w:w="1375"/>
        <w:gridCol w:w="1328"/>
      </w:tblGrid>
      <w:tr>
        <w:tblPrEx>
          <w:tblCellMar>
            <w:top w:w="0" w:type="dxa"/>
            <w:left w:w="108" w:type="dxa"/>
            <w:bottom w:w="0" w:type="dxa"/>
            <w:right w:w="108" w:type="dxa"/>
          </w:tblCellMar>
        </w:tblPrEx>
        <w:trPr>
          <w:trHeight w:val="403" w:hRule="atLeast"/>
          <w:jc w:val="center"/>
        </w:trPr>
        <w:tc>
          <w:tcPr>
            <w:tcW w:w="16660"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宋体" w:hAnsi="宋体" w:eastAsia="宋体" w:cs="宋体"/>
                <w:b/>
                <w:bCs/>
                <w:color w:val="000000"/>
                <w:kern w:val="0"/>
                <w:sz w:val="36"/>
                <w:szCs w:val="36"/>
                <w:lang w:val="zh-CN" w:eastAsia="ar-SA" w:bidi="zh-CN"/>
              </w:rPr>
              <w:t>收入决算表</w:t>
            </w:r>
          </w:p>
        </w:tc>
      </w:tr>
      <w:tr>
        <w:tblPrEx>
          <w:tblCellMar>
            <w:top w:w="0" w:type="dxa"/>
            <w:left w:w="108" w:type="dxa"/>
            <w:bottom w:w="0" w:type="dxa"/>
            <w:right w:w="108" w:type="dxa"/>
          </w:tblCellMar>
        </w:tblPrEx>
        <w:trPr>
          <w:trHeight w:val="247" w:hRule="atLeast"/>
          <w:jc w:val="center"/>
        </w:trPr>
        <w:tc>
          <w:tcPr>
            <w:tcW w:w="4357" w:type="dxa"/>
            <w:gridSpan w:val="2"/>
            <w:vAlign w:val="center"/>
          </w:tcPr>
          <w:p>
            <w:pPr>
              <w:pStyle w:val="22"/>
              <w:widowControl w:val="0"/>
              <w:jc w:val="center"/>
              <w:rPr>
                <w:rFonts w:hint="eastAsia" w:ascii="仿宋" w:hAnsi="仿宋" w:eastAsia="仿宋" w:cs="仿宋"/>
              </w:rPr>
            </w:pPr>
          </w:p>
        </w:tc>
        <w:tc>
          <w:tcPr>
            <w:tcW w:w="1716" w:type="dxa"/>
            <w:vAlign w:val="center"/>
          </w:tcPr>
          <w:p>
            <w:pPr>
              <w:pStyle w:val="22"/>
              <w:widowControl w:val="0"/>
              <w:jc w:val="center"/>
              <w:rPr>
                <w:rFonts w:hint="eastAsia" w:ascii="仿宋" w:hAnsi="仿宋" w:eastAsia="仿宋" w:cs="仿宋"/>
              </w:rPr>
            </w:pPr>
          </w:p>
        </w:tc>
        <w:tc>
          <w:tcPr>
            <w:tcW w:w="1728" w:type="dxa"/>
            <w:vAlign w:val="center"/>
          </w:tcPr>
          <w:p>
            <w:pPr>
              <w:pStyle w:val="22"/>
              <w:widowControl w:val="0"/>
              <w:jc w:val="center"/>
              <w:rPr>
                <w:rFonts w:hint="eastAsia" w:ascii="仿宋" w:hAnsi="仿宋" w:eastAsia="仿宋" w:cs="仿宋"/>
              </w:rPr>
            </w:pPr>
          </w:p>
        </w:tc>
        <w:tc>
          <w:tcPr>
            <w:tcW w:w="1686" w:type="dxa"/>
            <w:vAlign w:val="center"/>
          </w:tcPr>
          <w:p>
            <w:pPr>
              <w:pStyle w:val="22"/>
              <w:widowControl w:val="0"/>
              <w:jc w:val="center"/>
              <w:rPr>
                <w:rFonts w:hint="eastAsia" w:ascii="仿宋" w:hAnsi="仿宋" w:eastAsia="仿宋" w:cs="仿宋"/>
              </w:rPr>
            </w:pPr>
          </w:p>
        </w:tc>
        <w:tc>
          <w:tcPr>
            <w:tcW w:w="3207" w:type="dxa"/>
            <w:gridSpan w:val="2"/>
            <w:vAlign w:val="center"/>
          </w:tcPr>
          <w:p>
            <w:pPr>
              <w:pStyle w:val="22"/>
              <w:widowControl w:val="0"/>
              <w:jc w:val="center"/>
              <w:rPr>
                <w:rFonts w:hint="eastAsia" w:ascii="仿宋" w:hAnsi="仿宋" w:eastAsia="仿宋" w:cs="仿宋"/>
              </w:rPr>
            </w:pPr>
          </w:p>
        </w:tc>
        <w:tc>
          <w:tcPr>
            <w:tcW w:w="1263" w:type="dxa"/>
            <w:vAlign w:val="center"/>
          </w:tcPr>
          <w:p>
            <w:pPr>
              <w:pStyle w:val="22"/>
              <w:widowControl w:val="0"/>
              <w:jc w:val="center"/>
              <w:rPr>
                <w:rFonts w:hint="eastAsia" w:ascii="仿宋" w:hAnsi="仿宋" w:eastAsia="仿宋" w:cs="仿宋"/>
              </w:rPr>
            </w:pPr>
          </w:p>
        </w:tc>
        <w:tc>
          <w:tcPr>
            <w:tcW w:w="2703"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公开02表</w:t>
            </w:r>
          </w:p>
        </w:tc>
      </w:tr>
      <w:tr>
        <w:tblPrEx>
          <w:tblCellMar>
            <w:top w:w="0" w:type="dxa"/>
            <w:left w:w="108" w:type="dxa"/>
            <w:bottom w:w="0" w:type="dxa"/>
            <w:right w:w="108" w:type="dxa"/>
          </w:tblCellMar>
        </w:tblPrEx>
        <w:trPr>
          <w:trHeight w:val="247" w:hRule="atLeast"/>
          <w:jc w:val="center"/>
        </w:trPr>
        <w:tc>
          <w:tcPr>
            <w:tcW w:w="13957" w:type="dxa"/>
            <w:gridSpan w:val="8"/>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江苏省看守所</w:t>
            </w:r>
          </w:p>
        </w:tc>
        <w:tc>
          <w:tcPr>
            <w:tcW w:w="2703"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0" w:type="dxa"/>
            <w:left w:w="108" w:type="dxa"/>
            <w:bottom w:w="0" w:type="dxa"/>
            <w:right w:w="108" w:type="dxa"/>
          </w:tblCellMar>
        </w:tblPrEx>
        <w:trPr>
          <w:cantSplit/>
          <w:trHeight w:val="255" w:hRule="atLeast"/>
          <w:jc w:val="center"/>
        </w:trPr>
        <w:tc>
          <w:tcPr>
            <w:tcW w:w="435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w:t>
            </w:r>
          </w:p>
        </w:tc>
        <w:tc>
          <w:tcPr>
            <w:tcW w:w="171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本年收入合计</w:t>
            </w:r>
          </w:p>
        </w:tc>
        <w:tc>
          <w:tcPr>
            <w:tcW w:w="1728"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财政拨款收入</w:t>
            </w:r>
          </w:p>
        </w:tc>
        <w:tc>
          <w:tcPr>
            <w:tcW w:w="168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上级补助收入</w:t>
            </w:r>
          </w:p>
        </w:tc>
        <w:tc>
          <w:tcPr>
            <w:tcW w:w="1503"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财政专户管理教育收费</w:t>
            </w:r>
          </w:p>
        </w:tc>
        <w:tc>
          <w:tcPr>
            <w:tcW w:w="1704"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事业收入（不含专户管理教育收费）</w:t>
            </w:r>
          </w:p>
        </w:tc>
        <w:tc>
          <w:tcPr>
            <w:tcW w:w="1263"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经营收入</w:t>
            </w:r>
          </w:p>
        </w:tc>
        <w:tc>
          <w:tcPr>
            <w:tcW w:w="1375"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附属单位上缴收入</w:t>
            </w:r>
          </w:p>
        </w:tc>
        <w:tc>
          <w:tcPr>
            <w:tcW w:w="1328"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其他收入</w:t>
            </w:r>
          </w:p>
        </w:tc>
      </w:tr>
      <w:tr>
        <w:tblPrEx>
          <w:tblCellMar>
            <w:top w:w="0" w:type="dxa"/>
            <w:left w:w="108" w:type="dxa"/>
            <w:bottom w:w="0" w:type="dxa"/>
            <w:right w:w="108" w:type="dxa"/>
          </w:tblCellMar>
        </w:tblPrEx>
        <w:trPr>
          <w:cantSplit/>
          <w:trHeight w:val="502" w:hRule="atLeast"/>
          <w:jc w:val="center"/>
        </w:trPr>
        <w:tc>
          <w:tcPr>
            <w:tcW w:w="120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315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71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728"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8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503"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704"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263"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75"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28"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0" w:type="dxa"/>
            <w:left w:w="108" w:type="dxa"/>
            <w:bottom w:w="0" w:type="dxa"/>
            <w:right w:w="108" w:type="dxa"/>
          </w:tblCellMar>
        </w:tblPrEx>
        <w:trPr>
          <w:cantSplit/>
          <w:trHeight w:val="267" w:hRule="exact"/>
          <w:jc w:val="center"/>
        </w:trPr>
        <w:tc>
          <w:tcPr>
            <w:tcW w:w="435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716"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r>
              <w:rPr>
                <w:rFonts w:hint="eastAsia" w:ascii="仿宋" w:hAnsi="仿宋" w:eastAsia="仿宋" w:cs="仿宋"/>
                <w:sz w:val="20"/>
                <w:szCs w:val="20"/>
              </w:rPr>
              <w:t>2,940.16</w:t>
            </w:r>
          </w:p>
        </w:tc>
        <w:tc>
          <w:tcPr>
            <w:tcW w:w="1728"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r>
              <w:rPr>
                <w:rFonts w:hint="eastAsia" w:ascii="仿宋" w:hAnsi="仿宋" w:eastAsia="仿宋" w:cs="仿宋"/>
                <w:sz w:val="20"/>
                <w:szCs w:val="20"/>
              </w:rPr>
              <w:t>2,940.16</w:t>
            </w:r>
          </w:p>
        </w:tc>
        <w:tc>
          <w:tcPr>
            <w:tcW w:w="1686"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503"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704"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263"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375"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328"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公共安全支出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2,436.33</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2,436.33</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20402</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公安</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2,436.33</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2,436.33</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2040201</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行政运行</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1,593.38</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1,593.38</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2040220</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执法办案</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100.00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100.00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2040299</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其他公安支出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742.95</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742.95</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社会保障和就业支出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107.91</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107.91</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行政事业单位养老支出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107.91</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107.91</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2080505</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机关事业单位基本养老保险缴费支出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71.94</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71.94</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2080506</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机关事业单位职业年金缴费支出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35.97</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35.97</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住房保障支出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395.92</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395.92</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住房改革支出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395.92</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395.92</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2210201</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住房公积金</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125.13</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125.13</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2210202</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提租补贴</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270.79</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270.79</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bl>
    <w:p>
      <w:pPr>
        <w:widowControl w:val="0"/>
        <w:suppressAutoHyphens/>
        <w:bidi w:val="0"/>
        <w:spacing w:before="66" w:after="0"/>
        <w:ind w:left="0" w:leftChars="0" w:right="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color w:val="000000"/>
          <w:sz w:val="22"/>
          <w:szCs w:val="22"/>
        </w:rPr>
        <w:t>注：</w:t>
      </w:r>
      <w:r>
        <w:rPr>
          <w:rFonts w:hint="eastAsia" w:ascii="仿宋" w:hAnsi="仿宋" w:eastAsia="仿宋" w:cs="仿宋"/>
          <w:b w:val="0"/>
          <w:bCs w:val="0"/>
          <w:sz w:val="22"/>
          <w:szCs w:val="22"/>
        </w:rPr>
        <w:t>本表反映本年度取得的各项收入情况。本表金额单位转换时可能存在尾数误差。</w:t>
      </w:r>
    </w:p>
    <w:p>
      <w:pPr>
        <w:widowControl w:val="0"/>
        <w:suppressAutoHyphens/>
        <w:bidi w:val="0"/>
        <w:spacing w:before="66" w:after="0"/>
        <w:ind w:left="57" w:right="0" w:firstLine="220" w:firstLineChars="100"/>
        <w:jc w:val="both"/>
        <w:rPr>
          <w:rFonts w:hint="eastAsia" w:ascii="仿宋" w:hAnsi="仿宋" w:eastAsia="仿宋" w:cs="仿宋"/>
          <w:b w:val="0"/>
          <w:bCs w:val="0"/>
          <w:sz w:val="22"/>
          <w:szCs w:val="22"/>
        </w:rPr>
        <w:sectPr>
          <w:footerReference r:id="rId9" w:type="default"/>
          <w:pgSz w:w="16838" w:h="11906" w:orient="landscape"/>
          <w:pgMar w:top="720" w:right="113" w:bottom="720" w:left="113"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689" w:type="dxa"/>
        <w:tblInd w:w="63" w:type="dxa"/>
        <w:tblLayout w:type="fixed"/>
        <w:tblCellMar>
          <w:top w:w="55" w:type="dxa"/>
          <w:left w:w="55" w:type="dxa"/>
          <w:bottom w:w="55" w:type="dxa"/>
          <w:right w:w="55" w:type="dxa"/>
        </w:tblCellMar>
      </w:tblPr>
      <w:tblGrid>
        <w:gridCol w:w="1188"/>
        <w:gridCol w:w="3927"/>
        <w:gridCol w:w="2164"/>
        <w:gridCol w:w="1897"/>
        <w:gridCol w:w="1739"/>
        <w:gridCol w:w="1715"/>
        <w:gridCol w:w="1633"/>
        <w:gridCol w:w="1426"/>
      </w:tblGrid>
      <w:tr>
        <w:trPr>
          <w:trHeight w:val="532" w:hRule="atLeast"/>
        </w:trPr>
        <w:tc>
          <w:tcPr>
            <w:tcW w:w="15689" w:type="dxa"/>
            <w:gridSpan w:val="8"/>
            <w:vAlign w:val="center"/>
          </w:tcPr>
          <w:p>
            <w:pPr>
              <w:pStyle w:val="5"/>
              <w:widowControl w:val="0"/>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支出决算表</w:t>
            </w:r>
          </w:p>
        </w:tc>
      </w:tr>
      <w:tr>
        <w:tblPrEx>
          <w:tblCellMar>
            <w:top w:w="55" w:type="dxa"/>
            <w:left w:w="55" w:type="dxa"/>
            <w:bottom w:w="55" w:type="dxa"/>
            <w:right w:w="55" w:type="dxa"/>
          </w:tblCellMar>
        </w:tblPrEx>
        <w:trPr>
          <w:trHeight w:val="227" w:hRule="atLeast"/>
        </w:trPr>
        <w:tc>
          <w:tcPr>
            <w:tcW w:w="5115" w:type="dxa"/>
            <w:gridSpan w:val="2"/>
            <w:vAlign w:val="center"/>
          </w:tcPr>
          <w:p>
            <w:pPr>
              <w:pStyle w:val="22"/>
              <w:widowControl w:val="0"/>
              <w:jc w:val="center"/>
              <w:rPr>
                <w:rFonts w:hint="eastAsia" w:ascii="仿宋" w:hAnsi="仿宋" w:eastAsia="仿宋" w:cs="仿宋"/>
              </w:rPr>
            </w:pPr>
          </w:p>
        </w:tc>
        <w:tc>
          <w:tcPr>
            <w:tcW w:w="2164" w:type="dxa"/>
            <w:vAlign w:val="center"/>
          </w:tcPr>
          <w:p>
            <w:pPr>
              <w:pStyle w:val="22"/>
              <w:widowControl w:val="0"/>
              <w:spacing w:before="0" w:after="0"/>
              <w:ind w:firstLine="0"/>
              <w:jc w:val="center"/>
              <w:rPr>
                <w:rFonts w:hint="eastAsia" w:ascii="仿宋" w:hAnsi="仿宋" w:eastAsia="仿宋" w:cs="仿宋"/>
                <w:sz w:val="20"/>
              </w:rPr>
            </w:pPr>
          </w:p>
        </w:tc>
        <w:tc>
          <w:tcPr>
            <w:tcW w:w="1897" w:type="dxa"/>
            <w:vAlign w:val="center"/>
          </w:tcPr>
          <w:p>
            <w:pPr>
              <w:pStyle w:val="22"/>
              <w:widowControl w:val="0"/>
              <w:spacing w:before="0" w:after="0"/>
              <w:ind w:firstLine="0"/>
              <w:jc w:val="center"/>
              <w:rPr>
                <w:rFonts w:hint="eastAsia" w:ascii="仿宋" w:hAnsi="仿宋" w:eastAsia="仿宋" w:cs="仿宋"/>
                <w:sz w:val="20"/>
              </w:rPr>
            </w:pPr>
          </w:p>
        </w:tc>
        <w:tc>
          <w:tcPr>
            <w:tcW w:w="1739" w:type="dxa"/>
            <w:vAlign w:val="center"/>
          </w:tcPr>
          <w:p>
            <w:pPr>
              <w:pStyle w:val="22"/>
              <w:widowControl w:val="0"/>
              <w:spacing w:before="0" w:after="0"/>
              <w:ind w:firstLine="0"/>
              <w:jc w:val="center"/>
              <w:rPr>
                <w:rFonts w:hint="eastAsia" w:ascii="仿宋" w:hAnsi="仿宋" w:eastAsia="仿宋" w:cs="仿宋"/>
                <w:sz w:val="20"/>
              </w:rPr>
            </w:pPr>
          </w:p>
        </w:tc>
        <w:tc>
          <w:tcPr>
            <w:tcW w:w="1715" w:type="dxa"/>
            <w:vAlign w:val="center"/>
          </w:tcPr>
          <w:p>
            <w:pPr>
              <w:pStyle w:val="22"/>
              <w:widowControl w:val="0"/>
              <w:spacing w:before="0" w:after="0"/>
              <w:ind w:firstLine="0"/>
              <w:jc w:val="center"/>
              <w:rPr>
                <w:rFonts w:hint="eastAsia" w:ascii="仿宋" w:hAnsi="仿宋" w:eastAsia="仿宋" w:cs="仿宋"/>
                <w:sz w:val="20"/>
              </w:rPr>
            </w:pPr>
          </w:p>
        </w:tc>
        <w:tc>
          <w:tcPr>
            <w:tcW w:w="3059"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CellMar>
            <w:top w:w="55" w:type="dxa"/>
            <w:left w:w="55" w:type="dxa"/>
            <w:bottom w:w="55" w:type="dxa"/>
            <w:right w:w="55" w:type="dxa"/>
          </w:tblCellMar>
        </w:tblPrEx>
        <w:trPr>
          <w:trHeight w:val="90" w:hRule="atLeast"/>
        </w:trPr>
        <w:tc>
          <w:tcPr>
            <w:tcW w:w="12630" w:type="dxa"/>
            <w:gridSpan w:val="6"/>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江苏省看守所</w:t>
            </w:r>
          </w:p>
        </w:tc>
        <w:tc>
          <w:tcPr>
            <w:tcW w:w="3059"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CellMar>
            <w:top w:w="55" w:type="dxa"/>
            <w:left w:w="55" w:type="dxa"/>
            <w:bottom w:w="55" w:type="dxa"/>
            <w:right w:w="55" w:type="dxa"/>
          </w:tblCellMar>
        </w:tblPrEx>
        <w:trPr>
          <w:trHeight w:val="90" w:hRule="atLeast"/>
        </w:trPr>
        <w:tc>
          <w:tcPr>
            <w:tcW w:w="5115"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2164"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897"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39"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715"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33"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426"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CellMar>
            <w:top w:w="55" w:type="dxa"/>
            <w:left w:w="55" w:type="dxa"/>
            <w:bottom w:w="55" w:type="dxa"/>
            <w:right w:w="55" w:type="dxa"/>
          </w:tblCellMar>
        </w:tblPrEx>
        <w:trPr>
          <w:trHeight w:val="176" w:hRule="atLeast"/>
        </w:trPr>
        <w:tc>
          <w:tcPr>
            <w:tcW w:w="1188"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927"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2164"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897"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39"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15"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33"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426" w:type="dxa"/>
            <w:vMerge w:val="continue"/>
            <w:tcBorders>
              <w:left w:val="single" w:color="000000" w:sz="4" w:space="0"/>
              <w:bottom w:val="single" w:color="000000" w:sz="4" w:space="0"/>
              <w:right w:val="single" w:color="000000" w:sz="4" w:space="0"/>
            </w:tcBorders>
          </w:tcPr>
          <w:p>
            <w:pPr>
              <w:widowControl w:val="0"/>
              <w:spacing w:before="0" w:after="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382" w:hRule="exact"/>
        </w:trPr>
        <w:tc>
          <w:tcPr>
            <w:tcW w:w="511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216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2,886.91</w:t>
            </w:r>
          </w:p>
        </w:tc>
        <w:tc>
          <w:tcPr>
            <w:tcW w:w="189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2,097.21</w:t>
            </w:r>
          </w:p>
        </w:tc>
        <w:tc>
          <w:tcPr>
            <w:tcW w:w="173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789.70</w:t>
            </w:r>
          </w:p>
        </w:tc>
        <w:tc>
          <w:tcPr>
            <w:tcW w:w="1715"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3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26"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公共安全支出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2,383.08</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1,593.38</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789.70</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公安</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2,383.08</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1,593.38</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789.70</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2040201</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行政运行</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1,593.38</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1,593.38</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2040220</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执法办案</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92.18</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92.18</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2040299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其他公安支出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697.52</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697.52</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107.91</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107.91</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行政事业单位养老支出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107.91</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107.91</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2080505</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机关事业单位基本养老保险缴费支出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71.94</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71.94</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2080506</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机关事业单位职业年金缴费支出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35.97</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35.97</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住房保障支出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395.92</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395.92</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住房改革支出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395.92</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395.92</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2210201</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住房公积金</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125.13</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125.13</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2210202</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提租补贴</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270.79</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270.79</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bl>
    <w:p>
      <w:pPr>
        <w:widowControl w:val="0"/>
        <w:suppressAutoHyphens/>
        <w:bidi w:val="0"/>
        <w:spacing w:before="59" w:after="0"/>
        <w:ind w:left="0" w:leftChars="0" w:right="0" w:firstLine="0" w:firstLineChars="0"/>
        <w:jc w:val="left"/>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注：本表反映本年度各项支出情况。本表金额单位转换时可能存在尾数误差。</w:t>
      </w:r>
    </w:p>
    <w:p>
      <w:pPr>
        <w:widowControl w:val="0"/>
        <w:suppressAutoHyphens/>
        <w:bidi w:val="0"/>
        <w:spacing w:before="59" w:after="0"/>
        <w:ind w:left="57" w:right="0" w:firstLine="0"/>
        <w:jc w:val="left"/>
        <w:rPr>
          <w:rFonts w:hint="eastAsia" w:ascii="仿宋" w:hAnsi="仿宋" w:eastAsia="仿宋" w:cs="仿宋"/>
          <w:b w:val="0"/>
          <w:bCs w:val="0"/>
          <w:sz w:val="22"/>
          <w:szCs w:val="22"/>
        </w:rPr>
        <w:sectPr>
          <w:footerReference r:id="rId10" w:type="default"/>
          <w:pgSz w:w="16838" w:h="11906" w:orient="landscape"/>
          <w:pgMar w:top="720" w:right="567" w:bottom="720" w:left="567"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372" w:type="dxa"/>
        <w:tblInd w:w="75" w:type="dxa"/>
        <w:tblLayout w:type="fixed"/>
        <w:tblCellMar>
          <w:top w:w="55" w:type="dxa"/>
          <w:left w:w="55" w:type="dxa"/>
          <w:bottom w:w="55" w:type="dxa"/>
          <w:right w:w="55" w:type="dxa"/>
        </w:tblCellMar>
      </w:tblPr>
      <w:tblGrid>
        <w:gridCol w:w="3725"/>
        <w:gridCol w:w="1837"/>
        <w:gridCol w:w="847"/>
        <w:gridCol w:w="1913"/>
        <w:gridCol w:w="907"/>
        <w:gridCol w:w="1728"/>
        <w:gridCol w:w="1194"/>
        <w:gridCol w:w="221"/>
        <w:gridCol w:w="1500"/>
        <w:gridCol w:w="1500"/>
      </w:tblGrid>
      <w:tr>
        <w:trPr>
          <w:trHeight w:val="319" w:hRule="atLeast"/>
        </w:trPr>
        <w:tc>
          <w:tcPr>
            <w:tcW w:w="15372" w:type="dxa"/>
            <w:gridSpan w:val="10"/>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财政拨款收入支出决算总表</w:t>
            </w:r>
          </w:p>
        </w:tc>
      </w:tr>
      <w:tr>
        <w:tblPrEx>
          <w:tblCellMar>
            <w:top w:w="55" w:type="dxa"/>
            <w:left w:w="55" w:type="dxa"/>
            <w:bottom w:w="55" w:type="dxa"/>
            <w:right w:w="55" w:type="dxa"/>
          </w:tblCellMar>
        </w:tblPrEx>
        <w:trPr>
          <w:trHeight w:val="319" w:hRule="atLeast"/>
        </w:trPr>
        <w:tc>
          <w:tcPr>
            <w:tcW w:w="5562" w:type="dxa"/>
            <w:gridSpan w:val="2"/>
          </w:tcPr>
          <w:p>
            <w:pPr>
              <w:pStyle w:val="22"/>
              <w:widowControl w:val="0"/>
              <w:rPr>
                <w:rFonts w:hint="eastAsia" w:ascii="仿宋" w:hAnsi="仿宋" w:eastAsia="仿宋" w:cs="仿宋"/>
                <w:sz w:val="20"/>
              </w:rPr>
            </w:pPr>
          </w:p>
        </w:tc>
        <w:tc>
          <w:tcPr>
            <w:tcW w:w="847" w:type="dxa"/>
          </w:tcPr>
          <w:p>
            <w:pPr>
              <w:pStyle w:val="22"/>
              <w:widowControl w:val="0"/>
              <w:rPr>
                <w:rFonts w:hint="eastAsia" w:ascii="仿宋" w:hAnsi="仿宋" w:eastAsia="仿宋" w:cs="仿宋"/>
                <w:sz w:val="20"/>
              </w:rPr>
            </w:pPr>
          </w:p>
        </w:tc>
        <w:tc>
          <w:tcPr>
            <w:tcW w:w="1913" w:type="dxa"/>
          </w:tcPr>
          <w:p>
            <w:pPr>
              <w:pStyle w:val="22"/>
              <w:widowControl w:val="0"/>
              <w:rPr>
                <w:rFonts w:hint="eastAsia" w:ascii="仿宋" w:hAnsi="仿宋" w:eastAsia="仿宋" w:cs="仿宋"/>
                <w:sz w:val="20"/>
              </w:rPr>
            </w:pPr>
          </w:p>
        </w:tc>
        <w:tc>
          <w:tcPr>
            <w:tcW w:w="2635" w:type="dxa"/>
            <w:gridSpan w:val="2"/>
          </w:tcPr>
          <w:p>
            <w:pPr>
              <w:pStyle w:val="22"/>
              <w:widowControl w:val="0"/>
              <w:rPr>
                <w:rFonts w:hint="eastAsia" w:ascii="仿宋" w:hAnsi="仿宋" w:eastAsia="仿宋" w:cs="仿宋"/>
                <w:sz w:val="20"/>
              </w:rPr>
            </w:pPr>
          </w:p>
        </w:tc>
        <w:tc>
          <w:tcPr>
            <w:tcW w:w="1194" w:type="dxa"/>
          </w:tcPr>
          <w:p>
            <w:pPr>
              <w:pStyle w:val="22"/>
              <w:widowControl w:val="0"/>
              <w:rPr>
                <w:rFonts w:hint="eastAsia" w:ascii="仿宋" w:hAnsi="仿宋" w:eastAsia="仿宋" w:cs="仿宋"/>
                <w:sz w:val="20"/>
              </w:rPr>
            </w:pPr>
          </w:p>
        </w:tc>
        <w:tc>
          <w:tcPr>
            <w:tcW w:w="3221"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CellMar>
            <w:top w:w="55" w:type="dxa"/>
            <w:left w:w="55" w:type="dxa"/>
            <w:bottom w:w="55" w:type="dxa"/>
            <w:right w:w="55" w:type="dxa"/>
          </w:tblCellMar>
        </w:tblPrEx>
        <w:trPr>
          <w:trHeight w:val="319" w:hRule="atLeast"/>
        </w:trPr>
        <w:tc>
          <w:tcPr>
            <w:tcW w:w="12151" w:type="dxa"/>
            <w:gridSpan w:val="7"/>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江苏省看守所</w:t>
            </w:r>
          </w:p>
        </w:tc>
        <w:tc>
          <w:tcPr>
            <w:tcW w:w="3221"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CellMar>
            <w:top w:w="55" w:type="dxa"/>
            <w:left w:w="55" w:type="dxa"/>
            <w:bottom w:w="55" w:type="dxa"/>
            <w:right w:w="55" w:type="dxa"/>
          </w:tblCellMar>
        </w:tblPrEx>
        <w:trPr>
          <w:trHeight w:val="162" w:hRule="atLeast"/>
        </w:trPr>
        <w:tc>
          <w:tcPr>
            <w:tcW w:w="5562"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9810" w:type="dxa"/>
            <w:gridSpan w:val="8"/>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CellMar>
            <w:top w:w="55" w:type="dxa"/>
            <w:left w:w="55" w:type="dxa"/>
            <w:bottom w:w="55" w:type="dxa"/>
            <w:right w:w="55" w:type="dxa"/>
          </w:tblCellMar>
        </w:tblPrEx>
        <w:trPr>
          <w:trHeight w:val="199" w:hRule="atLeast"/>
        </w:trPr>
        <w:tc>
          <w:tcPr>
            <w:tcW w:w="3725"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1837"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667"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143"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CellMar>
            <w:top w:w="55" w:type="dxa"/>
            <w:left w:w="55" w:type="dxa"/>
            <w:bottom w:w="55" w:type="dxa"/>
            <w:right w:w="55" w:type="dxa"/>
          </w:tblCellMar>
        </w:tblPrEx>
        <w:trPr>
          <w:trHeight w:val="578" w:hRule="atLeast"/>
        </w:trPr>
        <w:tc>
          <w:tcPr>
            <w:tcW w:w="3725"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837"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3667" w:type="dxa"/>
            <w:gridSpan w:val="3"/>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小计</w:t>
            </w:r>
          </w:p>
        </w:tc>
        <w:tc>
          <w:tcPr>
            <w:tcW w:w="141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5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500"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2,940.16</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2,383.08</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2,383.08</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107.91</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107.91</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395.92</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395.92</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359" w:hRule="exact"/>
        </w:trPr>
        <w:tc>
          <w:tcPr>
            <w:tcW w:w="3725" w:type="dxa"/>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本年收入合计</w:t>
            </w:r>
          </w:p>
        </w:tc>
        <w:tc>
          <w:tcPr>
            <w:tcW w:w="1837"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2,940.16</w:t>
            </w:r>
          </w:p>
        </w:tc>
        <w:tc>
          <w:tcPr>
            <w:tcW w:w="3667"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本年支出合计</w:t>
            </w:r>
          </w:p>
        </w:tc>
        <w:tc>
          <w:tcPr>
            <w:tcW w:w="1728"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2,886.91</w:t>
            </w:r>
          </w:p>
        </w:tc>
        <w:tc>
          <w:tcPr>
            <w:tcW w:w="141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2,886.91</w:t>
            </w:r>
          </w:p>
        </w:tc>
        <w:tc>
          <w:tcPr>
            <w:tcW w:w="15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5.20</w:t>
            </w: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58.45</w:t>
            </w: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58.45</w:t>
            </w: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5.20</w:t>
            </w: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cantSplit/>
          <w:trHeight w:val="322" w:hRule="exact"/>
        </w:trPr>
        <w:tc>
          <w:tcPr>
            <w:tcW w:w="3725"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总计</w:t>
            </w:r>
          </w:p>
        </w:tc>
        <w:tc>
          <w:tcPr>
            <w:tcW w:w="183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2,945.36</w:t>
            </w:r>
          </w:p>
        </w:tc>
        <w:tc>
          <w:tcPr>
            <w:tcW w:w="3667"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总计</w:t>
            </w:r>
          </w:p>
        </w:tc>
        <w:tc>
          <w:tcPr>
            <w:tcW w:w="172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2,945.36</w:t>
            </w:r>
          </w:p>
        </w:tc>
        <w:tc>
          <w:tcPr>
            <w:tcW w:w="141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2,945.36</w:t>
            </w:r>
          </w:p>
        </w:tc>
        <w:tc>
          <w:tcPr>
            <w:tcW w:w="15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ind w:left="0" w:leftChars="0" w:firstLine="0" w:firstLineChars="0"/>
        <w:jc w:val="both"/>
        <w:rPr>
          <w:rFonts w:hint="eastAsia" w:ascii="仿宋" w:hAnsi="仿宋" w:eastAsia="仿宋" w:cs="仿宋"/>
          <w:b w:val="0"/>
          <w:bCs w:val="0"/>
        </w:rPr>
      </w:pPr>
      <w:r>
        <w:rPr>
          <w:rFonts w:hint="eastAsia" w:ascii="仿宋" w:hAnsi="仿宋" w:eastAsia="仿宋" w:cs="仿宋"/>
          <w:b w:val="0"/>
          <w:bCs w:val="0"/>
          <w:lang w:val="en-US" w:eastAsia="zh-CN"/>
        </w:rPr>
        <w:t>注：</w:t>
      </w:r>
      <w:r>
        <w:rPr>
          <w:rFonts w:hint="eastAsia" w:ascii="仿宋" w:hAnsi="仿宋" w:eastAsia="仿宋" w:cs="仿宋"/>
          <w:b w:val="0"/>
          <w:bCs w:val="0"/>
        </w:rPr>
        <w:t>本表反映本年度一般公共预算财政拨款、政府性基金预算财政拨款和国有资本经营预算财政拨款的总收支和年末结转结余情况。本表金额单位转换时可能存在尾数误差。</w:t>
      </w:r>
    </w:p>
    <w:p>
      <w:pPr>
        <w:jc w:val="both"/>
        <w:rPr>
          <w:rFonts w:hint="eastAsia" w:ascii="仿宋" w:hAnsi="仿宋" w:eastAsia="仿宋" w:cs="仿宋"/>
          <w:b w:val="0"/>
          <w:bCs w:val="0"/>
        </w:rPr>
        <w:sectPr>
          <w:footerReference r:id="rId11"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417" w:type="dxa"/>
        <w:tblInd w:w="44" w:type="dxa"/>
        <w:tblLayout w:type="fixed"/>
        <w:tblCellMar>
          <w:top w:w="55" w:type="dxa"/>
          <w:left w:w="55" w:type="dxa"/>
          <w:bottom w:w="55" w:type="dxa"/>
          <w:right w:w="55" w:type="dxa"/>
        </w:tblCellMar>
      </w:tblPr>
      <w:tblGrid>
        <w:gridCol w:w="1278"/>
        <w:gridCol w:w="5022"/>
        <w:gridCol w:w="3184"/>
        <w:gridCol w:w="2778"/>
        <w:gridCol w:w="3155"/>
      </w:tblGrid>
      <w:tr>
        <w:tblPrEx>
          <w:tblCellMar>
            <w:top w:w="55" w:type="dxa"/>
            <w:left w:w="55" w:type="dxa"/>
            <w:bottom w:w="55" w:type="dxa"/>
            <w:right w:w="55" w:type="dxa"/>
          </w:tblCellMar>
        </w:tblPrEx>
        <w:trPr>
          <w:trHeight w:val="321" w:hRule="atLeast"/>
        </w:trPr>
        <w:tc>
          <w:tcPr>
            <w:tcW w:w="15417"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财政拨款支出决算表（功能科目）</w:t>
            </w:r>
          </w:p>
        </w:tc>
      </w:tr>
      <w:tr>
        <w:tblPrEx>
          <w:tblCellMar>
            <w:top w:w="55" w:type="dxa"/>
            <w:left w:w="55" w:type="dxa"/>
            <w:bottom w:w="55" w:type="dxa"/>
            <w:right w:w="55" w:type="dxa"/>
          </w:tblCellMar>
        </w:tblPrEx>
        <w:trPr>
          <w:trHeight w:val="321" w:hRule="atLeast"/>
        </w:trPr>
        <w:tc>
          <w:tcPr>
            <w:tcW w:w="6300" w:type="dxa"/>
            <w:gridSpan w:val="2"/>
          </w:tcPr>
          <w:p>
            <w:pPr>
              <w:pStyle w:val="22"/>
              <w:widowControl w:val="0"/>
              <w:rPr>
                <w:rFonts w:hint="eastAsia" w:ascii="仿宋" w:hAnsi="仿宋" w:eastAsia="仿宋" w:cs="仿宋"/>
                <w:sz w:val="20"/>
              </w:rPr>
            </w:pPr>
          </w:p>
        </w:tc>
        <w:tc>
          <w:tcPr>
            <w:tcW w:w="3184" w:type="dxa"/>
          </w:tcPr>
          <w:p>
            <w:pPr>
              <w:pStyle w:val="22"/>
              <w:widowControl w:val="0"/>
              <w:rPr>
                <w:rFonts w:hint="eastAsia" w:ascii="仿宋" w:hAnsi="仿宋" w:eastAsia="仿宋" w:cs="仿宋"/>
                <w:sz w:val="27"/>
              </w:rPr>
            </w:pPr>
          </w:p>
        </w:tc>
        <w:tc>
          <w:tcPr>
            <w:tcW w:w="5933" w:type="dxa"/>
            <w:gridSpan w:val="2"/>
            <w:vAlign w:val="center"/>
          </w:tcPr>
          <w:p>
            <w:pPr>
              <w:pStyle w:val="22"/>
              <w:widowControl w:val="0"/>
              <w:jc w:val="right"/>
              <w:rPr>
                <w:rFonts w:hint="eastAsia" w:ascii="仿宋" w:hAnsi="仿宋" w:eastAsia="仿宋" w:cs="仿宋"/>
                <w:sz w:val="27"/>
              </w:rPr>
            </w:pPr>
            <w:r>
              <w:rPr>
                <w:rFonts w:hint="eastAsia" w:ascii="仿宋" w:hAnsi="仿宋" w:eastAsia="仿宋" w:cs="仿宋"/>
              </w:rPr>
              <w:t>公开05表</w:t>
            </w:r>
          </w:p>
        </w:tc>
      </w:tr>
      <w:tr>
        <w:tblPrEx>
          <w:tblCellMar>
            <w:top w:w="55" w:type="dxa"/>
            <w:left w:w="55" w:type="dxa"/>
            <w:bottom w:w="55" w:type="dxa"/>
            <w:right w:w="55" w:type="dxa"/>
          </w:tblCellMar>
        </w:tblPrEx>
        <w:trPr>
          <w:trHeight w:val="288" w:hRule="atLeast"/>
        </w:trPr>
        <w:tc>
          <w:tcPr>
            <w:tcW w:w="6300" w:type="dxa"/>
            <w:gridSpan w:val="2"/>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江苏省看守所</w:t>
            </w:r>
          </w:p>
        </w:tc>
        <w:tc>
          <w:tcPr>
            <w:tcW w:w="3184" w:type="dxa"/>
          </w:tcPr>
          <w:p>
            <w:pPr>
              <w:pStyle w:val="22"/>
              <w:widowControl w:val="0"/>
              <w:rPr>
                <w:rFonts w:hint="eastAsia" w:ascii="仿宋" w:hAnsi="仿宋" w:eastAsia="仿宋" w:cs="仿宋"/>
                <w:sz w:val="27"/>
              </w:rPr>
            </w:pPr>
          </w:p>
        </w:tc>
        <w:tc>
          <w:tcPr>
            <w:tcW w:w="2778" w:type="dxa"/>
            <w:vAlign w:val="center"/>
          </w:tcPr>
          <w:p>
            <w:pPr>
              <w:pStyle w:val="22"/>
              <w:widowControl w:val="0"/>
              <w:jc w:val="right"/>
              <w:rPr>
                <w:rFonts w:hint="eastAsia" w:ascii="仿宋" w:hAnsi="仿宋" w:eastAsia="仿宋" w:cs="仿宋"/>
                <w:sz w:val="27"/>
              </w:rPr>
            </w:pPr>
          </w:p>
        </w:tc>
        <w:tc>
          <w:tcPr>
            <w:tcW w:w="3155"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319" w:hRule="atLeast"/>
        </w:trPr>
        <w:tc>
          <w:tcPr>
            <w:tcW w:w="6300"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84"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155"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CellMar>
            <w:top w:w="55" w:type="dxa"/>
            <w:left w:w="55" w:type="dxa"/>
            <w:bottom w:w="55" w:type="dxa"/>
            <w:right w:w="55" w:type="dxa"/>
          </w:tblCellMar>
        </w:tblPrEx>
        <w:trPr>
          <w:trHeight w:val="341" w:hRule="atLeast"/>
        </w:trPr>
        <w:tc>
          <w:tcPr>
            <w:tcW w:w="12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功能分类</w:t>
            </w:r>
          </w:p>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5022"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84"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3155"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275" w:hRule="atLeast"/>
        </w:trPr>
        <w:tc>
          <w:tcPr>
            <w:tcW w:w="6300"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84"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155"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CellMar>
            <w:top w:w="55" w:type="dxa"/>
            <w:left w:w="55" w:type="dxa"/>
            <w:bottom w:w="55" w:type="dxa"/>
            <w:right w:w="55" w:type="dxa"/>
          </w:tblCellMar>
        </w:tblPrEx>
        <w:trPr>
          <w:trHeight w:val="374" w:hRule="exact"/>
        </w:trPr>
        <w:tc>
          <w:tcPr>
            <w:tcW w:w="6300"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84"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2,886.91</w:t>
            </w:r>
          </w:p>
        </w:tc>
        <w:tc>
          <w:tcPr>
            <w:tcW w:w="2778"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rPr>
              <w:t>2,097.21</w:t>
            </w:r>
          </w:p>
        </w:tc>
        <w:tc>
          <w:tcPr>
            <w:tcW w:w="3155"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789.70</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公共安全支出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2,383.08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1,593.38</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789.70</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公安</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2,383.08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1,593.38</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789.70</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行政运行</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1,593.38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1,593.38</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2040220</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执法办案</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92.18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92.18</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其他公安支出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697.52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697.52</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107.91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107.91</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行政事业单位养老支出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107.91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107.91</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机关事业单位基本养老保险缴费支出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71.94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71.94</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2080506</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机关事业单位职业年金缴费支出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35.97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35.97</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395.92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395.92</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住房改革支出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395.92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395.92</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住房公积金</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125.13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125.13</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提租补贴</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270.79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270.79</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bl>
    <w:p>
      <w:pPr>
        <w:widowControl w:val="0"/>
        <w:tabs>
          <w:tab w:val="left" w:pos="0"/>
        </w:tabs>
        <w:suppressAutoHyphens/>
        <w:bidi w:val="0"/>
        <w:spacing w:before="0" w:after="0"/>
        <w:ind w:left="0" w:leftChars="0" w:right="0" w:firstLine="0" w:firstLineChars="0"/>
        <w:jc w:val="both"/>
        <w:rPr>
          <w:rFonts w:hint="eastAsia" w:ascii="仿宋" w:hAnsi="仿宋" w:eastAsia="仿宋" w:cs="仿宋"/>
          <w:b w:val="0"/>
          <w:bCs w:val="0"/>
        </w:rPr>
      </w:pPr>
      <w:r>
        <w:rPr>
          <w:rFonts w:hint="eastAsia" w:ascii="仿宋" w:hAnsi="仿宋" w:eastAsia="仿宋" w:cs="仿宋"/>
          <w:b w:val="0"/>
          <w:bCs w:val="0"/>
        </w:rPr>
        <w:t>注：本表反映本年度一般公共预算财政拨款、政府性基金预算财政拨款和国有资本经营预算财政拨款支出情况。本表金额单位转换时可能存在尾数误差。</w:t>
      </w:r>
    </w:p>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val="0"/>
          <w:bCs w:val="0"/>
        </w:rPr>
        <w:sectPr>
          <w:footerReference r:id="rId12"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515" w:type="dxa"/>
        <w:tblInd w:w="38" w:type="dxa"/>
        <w:tblLayout w:type="fixed"/>
        <w:tblCellMar>
          <w:top w:w="55" w:type="dxa"/>
          <w:left w:w="55" w:type="dxa"/>
          <w:bottom w:w="55" w:type="dxa"/>
          <w:right w:w="55" w:type="dxa"/>
        </w:tblCellMar>
      </w:tblPr>
      <w:tblGrid>
        <w:gridCol w:w="990"/>
        <w:gridCol w:w="3542"/>
        <w:gridCol w:w="2047"/>
        <w:gridCol w:w="2040"/>
        <w:gridCol w:w="1896"/>
      </w:tblGrid>
      <w:tr>
        <w:tblPrEx>
          <w:tblCellMar>
            <w:top w:w="55" w:type="dxa"/>
            <w:left w:w="55" w:type="dxa"/>
            <w:bottom w:w="55" w:type="dxa"/>
            <w:right w:w="55" w:type="dxa"/>
          </w:tblCellMar>
        </w:tblPrEx>
        <w:trPr>
          <w:trHeight w:val="319" w:hRule="atLeast"/>
        </w:trPr>
        <w:tc>
          <w:tcPr>
            <w:tcW w:w="10515"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财政拨款基本支出决算表（经济科目）</w:t>
            </w:r>
          </w:p>
        </w:tc>
      </w:tr>
      <w:tr>
        <w:tblPrEx>
          <w:tblCellMar>
            <w:top w:w="55" w:type="dxa"/>
            <w:left w:w="55" w:type="dxa"/>
            <w:bottom w:w="55" w:type="dxa"/>
            <w:right w:w="55" w:type="dxa"/>
          </w:tblCellMar>
        </w:tblPrEx>
        <w:trPr>
          <w:trHeight w:val="319" w:hRule="atLeast"/>
        </w:trPr>
        <w:tc>
          <w:tcPr>
            <w:tcW w:w="4532" w:type="dxa"/>
            <w:gridSpan w:val="2"/>
          </w:tcPr>
          <w:p>
            <w:pPr>
              <w:pStyle w:val="22"/>
              <w:widowControl w:val="0"/>
              <w:rPr>
                <w:rFonts w:hint="eastAsia" w:ascii="仿宋" w:hAnsi="仿宋" w:eastAsia="仿宋" w:cs="仿宋"/>
                <w:sz w:val="20"/>
              </w:rPr>
            </w:pPr>
          </w:p>
        </w:tc>
        <w:tc>
          <w:tcPr>
            <w:tcW w:w="2047" w:type="dxa"/>
          </w:tcPr>
          <w:p>
            <w:pPr>
              <w:pStyle w:val="22"/>
              <w:widowControl w:val="0"/>
              <w:rPr>
                <w:rFonts w:hint="eastAsia" w:ascii="仿宋" w:hAnsi="仿宋" w:eastAsia="仿宋" w:cs="仿宋"/>
                <w:sz w:val="20"/>
              </w:rPr>
            </w:pPr>
          </w:p>
        </w:tc>
        <w:tc>
          <w:tcPr>
            <w:tcW w:w="2040" w:type="dxa"/>
          </w:tcPr>
          <w:p>
            <w:pPr>
              <w:pStyle w:val="22"/>
              <w:widowControl w:val="0"/>
              <w:rPr>
                <w:rFonts w:hint="eastAsia" w:ascii="仿宋" w:hAnsi="仿宋" w:eastAsia="仿宋" w:cs="仿宋"/>
                <w:sz w:val="20"/>
              </w:rPr>
            </w:pPr>
          </w:p>
        </w:tc>
        <w:tc>
          <w:tcPr>
            <w:tcW w:w="189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公开06表</w:t>
            </w:r>
          </w:p>
        </w:tc>
      </w:tr>
      <w:tr>
        <w:tblPrEx>
          <w:tblCellMar>
            <w:top w:w="55" w:type="dxa"/>
            <w:left w:w="55" w:type="dxa"/>
            <w:bottom w:w="55" w:type="dxa"/>
            <w:right w:w="55" w:type="dxa"/>
          </w:tblCellMar>
        </w:tblPrEx>
        <w:trPr>
          <w:trHeight w:val="319" w:hRule="atLeast"/>
        </w:trPr>
        <w:tc>
          <w:tcPr>
            <w:tcW w:w="8619"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江苏省看守所</w:t>
            </w:r>
          </w:p>
        </w:tc>
        <w:tc>
          <w:tcPr>
            <w:tcW w:w="189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43" w:hRule="atLeast"/>
        </w:trPr>
        <w:tc>
          <w:tcPr>
            <w:tcW w:w="4532"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983"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CellMar>
            <w:top w:w="55" w:type="dxa"/>
            <w:left w:w="55" w:type="dxa"/>
            <w:bottom w:w="55" w:type="dxa"/>
            <w:right w:w="55" w:type="dxa"/>
          </w:tblCellMar>
        </w:tblPrEx>
        <w:trPr>
          <w:trHeight w:val="483" w:hRule="atLeast"/>
        </w:trPr>
        <w:tc>
          <w:tcPr>
            <w:tcW w:w="99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896"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trHeight w:val="409" w:hRule="exact"/>
        </w:trPr>
        <w:tc>
          <w:tcPr>
            <w:tcW w:w="4532"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2,097.21</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1,819.07</w:t>
            </w:r>
          </w:p>
        </w:tc>
        <w:tc>
          <w:tcPr>
            <w:tcW w:w="189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278.14</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1,816.71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1,816.71</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205.92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205.92</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702.33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702.33</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573.51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573.51</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92.36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92.36</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46.18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46.18</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140.24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140.24</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56.17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56.17</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278.14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278.14</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14.84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14.84</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0.17</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14.74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14.74</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84.44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84.44</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22.48</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9.55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9.55</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1.31</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1.50</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1.41</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8.83</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13.74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13.74</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103.96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103.96</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2.36</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2.36</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经常性赠与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资本性赠与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tabs>
          <w:tab w:val="left" w:pos="660"/>
          <w:tab w:val="left" w:pos="10780"/>
        </w:tabs>
        <w:suppressAutoHyphens/>
        <w:bidi w:val="0"/>
        <w:spacing w:before="25" w:after="0" w:line="290" w:lineRule="auto"/>
        <w:ind w:left="0" w:leftChars="0" w:right="0"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注：本表反映本年度一般公共预算财政拨款、政府性基金预算财政拨款和国有资本经营预算财政拨款基本支出情况。本表金额单位转换时可能存在尾数误差。</w:t>
      </w:r>
    </w:p>
    <w:p>
      <w:pPr>
        <w:widowControl w:val="0"/>
        <w:numPr>
          <w:ilvl w:val="0"/>
          <w:numId w:val="0"/>
        </w:numPr>
        <w:suppressAutoHyphens/>
        <w:bidi w:val="0"/>
        <w:spacing w:before="0" w:after="0" w:line="255" w:lineRule="exact"/>
        <w:jc w:val="both"/>
        <w:rPr>
          <w:rFonts w:hint="eastAsia" w:ascii="仿宋" w:hAnsi="仿宋" w:eastAsia="仿宋" w:cs="仿宋"/>
          <w:b w:val="0"/>
          <w:bCs w:val="0"/>
          <w:sz w:val="22"/>
          <w:szCs w:val="22"/>
        </w:rPr>
        <w:sectPr>
          <w:footerReference r:id="rId13"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46" w:type="dxa"/>
        <w:tblInd w:w="78" w:type="dxa"/>
        <w:tblLayout w:type="fixed"/>
        <w:tblCellMar>
          <w:top w:w="55" w:type="dxa"/>
          <w:left w:w="55" w:type="dxa"/>
          <w:bottom w:w="55" w:type="dxa"/>
          <w:right w:w="55" w:type="dxa"/>
        </w:tblCellMar>
      </w:tblPr>
      <w:tblGrid>
        <w:gridCol w:w="1134"/>
        <w:gridCol w:w="4332"/>
        <w:gridCol w:w="1969"/>
        <w:gridCol w:w="1499"/>
        <w:gridCol w:w="1512"/>
      </w:tblGrid>
      <w:tr>
        <w:trPr>
          <w:trHeight w:val="560" w:hRule="atLeast"/>
        </w:trPr>
        <w:tc>
          <w:tcPr>
            <w:tcW w:w="10446"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一般公共预算支出决算表（功能科目）</w:t>
            </w:r>
          </w:p>
        </w:tc>
      </w:tr>
      <w:tr>
        <w:tblPrEx>
          <w:tblCellMar>
            <w:top w:w="55" w:type="dxa"/>
            <w:left w:w="55" w:type="dxa"/>
            <w:bottom w:w="55" w:type="dxa"/>
            <w:right w:w="55" w:type="dxa"/>
          </w:tblCellMar>
        </w:tblPrEx>
        <w:trPr>
          <w:trHeight w:val="147" w:hRule="atLeast"/>
        </w:trPr>
        <w:tc>
          <w:tcPr>
            <w:tcW w:w="5466" w:type="dxa"/>
            <w:gridSpan w:val="2"/>
          </w:tcPr>
          <w:p>
            <w:pPr>
              <w:pStyle w:val="22"/>
              <w:widowControl w:val="0"/>
              <w:rPr>
                <w:rFonts w:hint="eastAsia" w:ascii="仿宋" w:hAnsi="仿宋" w:eastAsia="仿宋" w:cs="仿宋"/>
                <w:sz w:val="20"/>
              </w:rPr>
            </w:pPr>
          </w:p>
        </w:tc>
        <w:tc>
          <w:tcPr>
            <w:tcW w:w="1969" w:type="dxa"/>
          </w:tcPr>
          <w:p>
            <w:pPr>
              <w:pStyle w:val="22"/>
              <w:widowControl w:val="0"/>
              <w:rPr>
                <w:rFonts w:hint="eastAsia" w:ascii="仿宋" w:hAnsi="仿宋" w:eastAsia="仿宋" w:cs="仿宋"/>
                <w:sz w:val="20"/>
              </w:rPr>
            </w:pPr>
          </w:p>
        </w:tc>
        <w:tc>
          <w:tcPr>
            <w:tcW w:w="1499" w:type="dxa"/>
          </w:tcPr>
          <w:p>
            <w:pPr>
              <w:pStyle w:val="22"/>
              <w:widowControl w:val="0"/>
              <w:rPr>
                <w:rFonts w:hint="eastAsia" w:ascii="仿宋" w:hAnsi="仿宋" w:eastAsia="仿宋" w:cs="仿宋"/>
                <w:sz w:val="20"/>
              </w:rPr>
            </w:pPr>
          </w:p>
        </w:tc>
        <w:tc>
          <w:tcPr>
            <w:tcW w:w="1512"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公开07表</w:t>
            </w:r>
          </w:p>
        </w:tc>
      </w:tr>
      <w:tr>
        <w:tblPrEx>
          <w:tblCellMar>
            <w:top w:w="55" w:type="dxa"/>
            <w:left w:w="55" w:type="dxa"/>
            <w:bottom w:w="55" w:type="dxa"/>
            <w:right w:w="55" w:type="dxa"/>
          </w:tblCellMar>
        </w:tblPrEx>
        <w:trPr>
          <w:trHeight w:val="303" w:hRule="atLeast"/>
        </w:trPr>
        <w:tc>
          <w:tcPr>
            <w:tcW w:w="7435" w:type="dxa"/>
            <w:gridSpan w:val="3"/>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江苏省看守所</w:t>
            </w:r>
          </w:p>
        </w:tc>
        <w:tc>
          <w:tcPr>
            <w:tcW w:w="3011" w:type="dxa"/>
            <w:gridSpan w:val="2"/>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58" w:hRule="atLeast"/>
        </w:trPr>
        <w:tc>
          <w:tcPr>
            <w:tcW w:w="5466"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1969"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1499"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512"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trHeight w:val="561" w:hRule="atLeast"/>
        </w:trPr>
        <w:tc>
          <w:tcPr>
            <w:tcW w:w="1134"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功能分类科目编码</w:t>
            </w:r>
          </w:p>
        </w:tc>
        <w:tc>
          <w:tcPr>
            <w:tcW w:w="4332"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969"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499"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512"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
                <w:szCs w:val="2"/>
              </w:rPr>
            </w:pPr>
          </w:p>
        </w:tc>
      </w:tr>
      <w:tr>
        <w:tblPrEx>
          <w:tblCellMar>
            <w:top w:w="55" w:type="dxa"/>
            <w:left w:w="55" w:type="dxa"/>
            <w:bottom w:w="55" w:type="dxa"/>
            <w:right w:w="55" w:type="dxa"/>
          </w:tblCellMar>
        </w:tblPrEx>
        <w:trPr>
          <w:trHeight w:val="152" w:hRule="atLeast"/>
        </w:trPr>
        <w:tc>
          <w:tcPr>
            <w:tcW w:w="5466"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1969"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w:t>
            </w:r>
          </w:p>
        </w:tc>
        <w:tc>
          <w:tcPr>
            <w:tcW w:w="1499"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512"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r>
      <w:tr>
        <w:tblPrEx>
          <w:tblCellMar>
            <w:top w:w="55" w:type="dxa"/>
            <w:left w:w="55" w:type="dxa"/>
            <w:bottom w:w="55" w:type="dxa"/>
            <w:right w:w="55" w:type="dxa"/>
          </w:tblCellMar>
        </w:tblPrEx>
        <w:trPr>
          <w:trHeight w:val="298" w:hRule="exact"/>
        </w:trPr>
        <w:tc>
          <w:tcPr>
            <w:tcW w:w="5466"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合计</w:t>
            </w:r>
          </w:p>
        </w:tc>
        <w:tc>
          <w:tcPr>
            <w:tcW w:w="1969"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2,886.91</w:t>
            </w:r>
          </w:p>
        </w:tc>
        <w:tc>
          <w:tcPr>
            <w:tcW w:w="1499"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2,097.21</w:t>
            </w:r>
          </w:p>
        </w:tc>
        <w:tc>
          <w:tcPr>
            <w:tcW w:w="1512" w:type="dxa"/>
            <w:tcBorders>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789.70</w:t>
            </w: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公共安全支出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2,383.08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1,593.38</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789.70</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公安</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2,383.08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1,593.38</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789.70</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2040201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行政运行</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1,593.38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1,593.38</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2040220</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执法办案</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92.18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92.18</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2040299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其他公安支出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697.52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697.52</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107.91</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107.91</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行政事业单位养老支出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107.91</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107.91</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71.94</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71.94</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2080506</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机关事业单位职业年金缴费支出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35.97</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35.97</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住房保障支出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395.92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395.92</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住房改革支出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395.92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395.92</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125.13</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125.13</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提租补贴</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270.79</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270.79</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bl>
    <w:p>
      <w:pPr>
        <w:tabs>
          <w:tab w:val="left" w:pos="0"/>
        </w:tabs>
        <w:spacing w:before="25" w:after="0"/>
        <w:ind w:left="0" w:leftChars="0" w:right="0"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注：本表反映本年度一般公共预算财政拨款支出情况。本表金额单位转换时可能存在尾数误差。</w:t>
      </w:r>
    </w:p>
    <w:p>
      <w:pPr>
        <w:widowControl w:val="0"/>
        <w:numPr>
          <w:ilvl w:val="0"/>
          <w:numId w:val="0"/>
        </w:numPr>
        <w:suppressAutoHyphens/>
        <w:bidi w:val="0"/>
        <w:spacing w:before="25" w:after="0"/>
        <w:jc w:val="both"/>
        <w:rPr>
          <w:rFonts w:hint="eastAsia" w:ascii="仿宋" w:hAnsi="仿宋" w:eastAsia="仿宋" w:cs="仿宋"/>
          <w:b w:val="0"/>
          <w:bCs w:val="0"/>
          <w:sz w:val="22"/>
          <w:szCs w:val="22"/>
        </w:rPr>
        <w:sectPr>
          <w:footerReference r:id="rId14"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73" w:type="dxa"/>
        <w:tblInd w:w="65" w:type="dxa"/>
        <w:tblLayout w:type="fixed"/>
        <w:tblCellMar>
          <w:top w:w="55" w:type="dxa"/>
          <w:left w:w="55" w:type="dxa"/>
          <w:bottom w:w="55" w:type="dxa"/>
          <w:right w:w="55" w:type="dxa"/>
        </w:tblCellMar>
      </w:tblPr>
      <w:tblGrid>
        <w:gridCol w:w="1121"/>
        <w:gridCol w:w="3566"/>
        <w:gridCol w:w="2200"/>
        <w:gridCol w:w="1708"/>
        <w:gridCol w:w="1878"/>
      </w:tblGrid>
      <w:tr>
        <w:trPr>
          <w:trHeight w:val="319" w:hRule="atLeast"/>
        </w:trPr>
        <w:tc>
          <w:tcPr>
            <w:tcW w:w="10473" w:type="dxa"/>
            <w:gridSpan w:val="5"/>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一般公共预算基本支出决算表（经济科目）</w:t>
            </w:r>
          </w:p>
        </w:tc>
      </w:tr>
      <w:tr>
        <w:tblPrEx>
          <w:tblCellMar>
            <w:top w:w="55" w:type="dxa"/>
            <w:left w:w="55" w:type="dxa"/>
            <w:bottom w:w="55" w:type="dxa"/>
            <w:right w:w="55" w:type="dxa"/>
          </w:tblCellMar>
        </w:tblPrEx>
        <w:trPr>
          <w:trHeight w:val="199" w:hRule="atLeast"/>
        </w:trPr>
        <w:tc>
          <w:tcPr>
            <w:tcW w:w="8595" w:type="dxa"/>
            <w:gridSpan w:val="4"/>
            <w:vAlign w:val="center"/>
          </w:tcPr>
          <w:p>
            <w:pPr>
              <w:pStyle w:val="22"/>
              <w:widowControl w:val="0"/>
              <w:jc w:val="right"/>
              <w:rPr>
                <w:rFonts w:hint="eastAsia" w:ascii="仿宋" w:hAnsi="仿宋" w:eastAsia="仿宋" w:cs="仿宋"/>
                <w:color w:val="000000"/>
                <w:sz w:val="22"/>
                <w:szCs w:val="22"/>
                <w:lang w:eastAsia="zh-CN"/>
              </w:rPr>
            </w:pPr>
          </w:p>
        </w:tc>
        <w:tc>
          <w:tcPr>
            <w:tcW w:w="1878" w:type="dxa"/>
            <w:vAlign w:val="center"/>
          </w:tcPr>
          <w:p>
            <w:pPr>
              <w:pStyle w:val="22"/>
              <w:widowControl w:val="0"/>
              <w:jc w:val="right"/>
              <w:rPr>
                <w:rFonts w:hint="eastAsia" w:ascii="仿宋" w:hAnsi="仿宋" w:eastAsia="仿宋" w:cs="仿宋"/>
              </w:rPr>
            </w:pPr>
            <w:r>
              <w:rPr>
                <w:rFonts w:hint="eastAsia" w:ascii="仿宋" w:hAnsi="仿宋" w:eastAsia="仿宋" w:cs="仿宋"/>
              </w:rPr>
              <w:t>公开08表</w:t>
            </w:r>
          </w:p>
        </w:tc>
      </w:tr>
      <w:tr>
        <w:tblPrEx>
          <w:tblCellMar>
            <w:top w:w="55" w:type="dxa"/>
            <w:left w:w="55" w:type="dxa"/>
            <w:bottom w:w="55" w:type="dxa"/>
            <w:right w:w="55" w:type="dxa"/>
          </w:tblCellMar>
        </w:tblPrEx>
        <w:trPr>
          <w:trHeight w:val="320" w:hRule="atLeast"/>
        </w:trPr>
        <w:tc>
          <w:tcPr>
            <w:tcW w:w="8595"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江苏省看守所</w:t>
            </w:r>
          </w:p>
        </w:tc>
        <w:tc>
          <w:tcPr>
            <w:tcW w:w="1878"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80" w:hRule="atLeast"/>
        </w:trPr>
        <w:tc>
          <w:tcPr>
            <w:tcW w:w="468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786"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CellMar>
            <w:top w:w="55" w:type="dxa"/>
            <w:left w:w="55" w:type="dxa"/>
            <w:bottom w:w="55" w:type="dxa"/>
            <w:right w:w="55" w:type="dxa"/>
          </w:tblCellMar>
        </w:tblPrEx>
        <w:trPr>
          <w:trHeight w:val="474" w:hRule="atLeast"/>
        </w:trPr>
        <w:tc>
          <w:tcPr>
            <w:tcW w:w="112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6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2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170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878"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trHeight w:val="394" w:hRule="exact"/>
        </w:trPr>
        <w:tc>
          <w:tcPr>
            <w:tcW w:w="468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2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2,097.21</w:t>
            </w:r>
          </w:p>
        </w:tc>
        <w:tc>
          <w:tcPr>
            <w:tcW w:w="170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1,819.07</w:t>
            </w:r>
          </w:p>
        </w:tc>
        <w:tc>
          <w:tcPr>
            <w:tcW w:w="187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278.14</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1,816.71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1,816.71</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205.92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205.92</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702.33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702.33</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573.51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573.51</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92.36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92.36</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46.18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46.18</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140.24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140.24</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56.17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56.17</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278.14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278.14</w:t>
            </w: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14.84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14.84</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0.17</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14.74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14.74</w:t>
            </w: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84.44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84.44</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22.48</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9.55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9.55</w:t>
            </w: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1.31</w:t>
            </w: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1.50</w:t>
            </w: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1.41</w:t>
            </w: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8.83</w:t>
            </w: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13.74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13.74</w:t>
            </w: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30240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103.96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103.96</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2.36</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2.36</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债务利息及费用支出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经常性赠与</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资本性赠与</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0" w:leftChars="0" w:right="-92" w:rightChars="-42"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注：本表反映本年度一般公共预算财政拨款基本支出情况。本表金额单位转换时可能存在尾数误差。</w:t>
      </w:r>
    </w:p>
    <w:p>
      <w:pPr>
        <w:widowControl w:val="0"/>
        <w:numPr>
          <w:ilvl w:val="0"/>
          <w:numId w:val="0"/>
        </w:numPr>
        <w:suppressAutoHyphens/>
        <w:bidi w:val="0"/>
        <w:spacing w:before="25" w:after="0"/>
        <w:jc w:val="both"/>
        <w:rPr>
          <w:rFonts w:hint="eastAsia" w:ascii="仿宋" w:hAnsi="仿宋" w:eastAsia="仿宋" w:cs="仿宋"/>
          <w:b w:val="0"/>
          <w:bCs w:val="0"/>
          <w:sz w:val="22"/>
          <w:szCs w:val="22"/>
        </w:rPr>
        <w:sectPr>
          <w:footerReference r:id="rId15"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6486" w:type="dxa"/>
        <w:tblInd w:w="62" w:type="dxa"/>
        <w:tblLayout w:type="fixed"/>
        <w:tblCellMar>
          <w:top w:w="55" w:type="dxa"/>
          <w:left w:w="55" w:type="dxa"/>
          <w:bottom w:w="55" w:type="dxa"/>
          <w:right w:w="55" w:type="dxa"/>
        </w:tblCellMar>
      </w:tblPr>
      <w:tblGrid>
        <w:gridCol w:w="1044"/>
        <w:gridCol w:w="1042"/>
        <w:gridCol w:w="1020"/>
        <w:gridCol w:w="1029"/>
        <w:gridCol w:w="998"/>
        <w:gridCol w:w="1026"/>
        <w:gridCol w:w="1043"/>
        <w:gridCol w:w="1010"/>
        <w:gridCol w:w="1058"/>
        <w:gridCol w:w="1010"/>
        <w:gridCol w:w="948"/>
        <w:gridCol w:w="1089"/>
        <w:gridCol w:w="1042"/>
        <w:gridCol w:w="1043"/>
        <w:gridCol w:w="1057"/>
        <w:gridCol w:w="1027"/>
      </w:tblGrid>
      <w:tr>
        <w:trPr>
          <w:trHeight w:val="321" w:hRule="atLeast"/>
        </w:trPr>
        <w:tc>
          <w:tcPr>
            <w:tcW w:w="16486" w:type="dxa"/>
            <w:gridSpan w:val="16"/>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en-US" w:eastAsia="zh-CN" w:bidi="zh-CN"/>
              </w:rPr>
              <w:t>财政拨款“三公”经费、会议费和培训费支出决算表</w:t>
            </w:r>
          </w:p>
        </w:tc>
      </w:tr>
      <w:tr>
        <w:tblPrEx>
          <w:tblCellMar>
            <w:top w:w="55" w:type="dxa"/>
            <w:left w:w="55" w:type="dxa"/>
            <w:bottom w:w="55" w:type="dxa"/>
            <w:right w:w="55" w:type="dxa"/>
          </w:tblCellMar>
        </w:tblPrEx>
        <w:trPr>
          <w:trHeight w:val="207" w:hRule="atLeast"/>
        </w:trPr>
        <w:tc>
          <w:tcPr>
            <w:tcW w:w="16486" w:type="dxa"/>
            <w:gridSpan w:val="16"/>
          </w:tcPr>
          <w:p>
            <w:pPr>
              <w:pStyle w:val="22"/>
              <w:widowControl w:val="0"/>
              <w:jc w:val="right"/>
              <w:rPr>
                <w:rFonts w:hint="eastAsia" w:ascii="仿宋" w:hAnsi="仿宋" w:eastAsia="仿宋" w:cs="仿宋"/>
                <w:sz w:val="20"/>
              </w:rPr>
            </w:pPr>
            <w:r>
              <w:rPr>
                <w:rFonts w:hint="eastAsia" w:ascii="仿宋" w:hAnsi="仿宋" w:eastAsia="仿宋" w:cs="仿宋"/>
              </w:rPr>
              <w:t>公开09表</w:t>
            </w:r>
          </w:p>
        </w:tc>
      </w:tr>
      <w:tr>
        <w:tblPrEx>
          <w:tblCellMar>
            <w:top w:w="55" w:type="dxa"/>
            <w:left w:w="55" w:type="dxa"/>
            <w:bottom w:w="55" w:type="dxa"/>
            <w:right w:w="55" w:type="dxa"/>
          </w:tblCellMar>
        </w:tblPrEx>
        <w:trPr>
          <w:trHeight w:val="103" w:hRule="atLeast"/>
        </w:trPr>
        <w:tc>
          <w:tcPr>
            <w:tcW w:w="8212" w:type="dxa"/>
            <w:gridSpan w:val="8"/>
            <w:tcBorders>
              <w:bottom w:val="single" w:color="auto" w:sz="4" w:space="0"/>
            </w:tcBorders>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江苏省看守所</w:t>
            </w:r>
          </w:p>
        </w:tc>
        <w:tc>
          <w:tcPr>
            <w:tcW w:w="8274" w:type="dxa"/>
            <w:gridSpan w:val="8"/>
            <w:tcBorders>
              <w:bottom w:val="single" w:color="auto" w:sz="4" w:space="0"/>
            </w:tcBorders>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71" w:hRule="atLeast"/>
        </w:trPr>
        <w:tc>
          <w:tcPr>
            <w:tcW w:w="8212" w:type="dxa"/>
            <w:gridSpan w:val="8"/>
            <w:tcBorders>
              <w:top w:val="single" w:color="auto" w:sz="4" w:space="0"/>
              <w:left w:val="single" w:color="auto" w:sz="4" w:space="0"/>
              <w:bottom w:val="single" w:color="auto" w:sz="4" w:space="0"/>
              <w:right w:val="single" w:color="auto" w:sz="4" w:space="0"/>
            </w:tcBorders>
          </w:tcPr>
          <w:p>
            <w:pPr>
              <w:pStyle w:val="22"/>
              <w:widowControl w:val="0"/>
              <w:jc w:val="center"/>
              <w:rPr>
                <w:rFonts w:hint="eastAsia" w:ascii="仿宋" w:hAnsi="仿宋" w:eastAsia="仿宋" w:cs="仿宋"/>
              </w:rPr>
            </w:pPr>
            <w:r>
              <w:rPr>
                <w:rFonts w:hint="eastAsia" w:ascii="仿宋" w:hAnsi="仿宋" w:eastAsia="仿宋" w:cs="仿宋"/>
                <w:lang w:val="en-US" w:eastAsia="zh-CN"/>
              </w:rPr>
              <w:t>预算数</w:t>
            </w:r>
          </w:p>
        </w:tc>
        <w:tc>
          <w:tcPr>
            <w:tcW w:w="8274" w:type="dxa"/>
            <w:gridSpan w:val="8"/>
            <w:tcBorders>
              <w:top w:val="single" w:color="auto" w:sz="4" w:space="0"/>
              <w:left w:val="single" w:color="auto" w:sz="4" w:space="0"/>
              <w:bottom w:val="single" w:color="auto" w:sz="4" w:space="0"/>
              <w:right w:val="single" w:color="auto" w:sz="4" w:space="0"/>
            </w:tcBorders>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决算数</w:t>
            </w:r>
          </w:p>
        </w:tc>
      </w:tr>
      <w:tr>
        <w:tblPrEx>
          <w:tblCellMar>
            <w:top w:w="55" w:type="dxa"/>
            <w:left w:w="55" w:type="dxa"/>
            <w:bottom w:w="55" w:type="dxa"/>
            <w:right w:w="55" w:type="dxa"/>
          </w:tblCellMar>
        </w:tblPrEx>
        <w:trPr>
          <w:trHeight w:val="179" w:hRule="atLeast"/>
        </w:trPr>
        <w:tc>
          <w:tcPr>
            <w:tcW w:w="6159" w:type="dxa"/>
            <w:gridSpan w:val="6"/>
            <w:tcBorders>
              <w:top w:val="single" w:color="auto"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1043" w:type="dxa"/>
            <w:vMerge w:val="restart"/>
            <w:tcBorders>
              <w:top w:val="single" w:color="auto"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010"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c>
          <w:tcPr>
            <w:tcW w:w="6190" w:type="dxa"/>
            <w:gridSpan w:val="6"/>
            <w:tcBorders>
              <w:top w:val="single" w:color="auto"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1057"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027"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r>
      <w:tr>
        <w:tblPrEx>
          <w:tblCellMar>
            <w:top w:w="55" w:type="dxa"/>
            <w:left w:w="55" w:type="dxa"/>
            <w:bottom w:w="55" w:type="dxa"/>
            <w:right w:w="55" w:type="dxa"/>
          </w:tblCellMar>
        </w:tblPrEx>
        <w:trPr>
          <w:trHeight w:val="297" w:hRule="atLeast"/>
        </w:trPr>
        <w:tc>
          <w:tcPr>
            <w:tcW w:w="1044"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104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3047"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公务用车购置及运行费</w:t>
            </w:r>
          </w:p>
        </w:tc>
        <w:tc>
          <w:tcPr>
            <w:tcW w:w="1026"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w:t>
            </w:r>
          </w:p>
          <w:p>
            <w:pPr>
              <w:pStyle w:val="22"/>
              <w:widowControl w:val="0"/>
              <w:jc w:val="center"/>
              <w:rPr>
                <w:rFonts w:hint="eastAsia" w:ascii="仿宋" w:hAnsi="仿宋" w:eastAsia="仿宋" w:cs="仿宋"/>
              </w:rPr>
            </w:pPr>
            <w:r>
              <w:rPr>
                <w:rFonts w:hint="eastAsia" w:ascii="仿宋" w:hAnsi="仿宋" w:eastAsia="仿宋" w:cs="仿宋"/>
              </w:rPr>
              <w:t>接待费</w:t>
            </w:r>
          </w:p>
        </w:tc>
        <w:tc>
          <w:tcPr>
            <w:tcW w:w="1043"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010"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c>
          <w:tcPr>
            <w:tcW w:w="1058"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“三公”经费合计</w:t>
            </w:r>
          </w:p>
        </w:tc>
        <w:tc>
          <w:tcPr>
            <w:tcW w:w="1010"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因公出国（境）费</w:t>
            </w:r>
          </w:p>
        </w:tc>
        <w:tc>
          <w:tcPr>
            <w:tcW w:w="3079" w:type="dxa"/>
            <w:gridSpan w:val="3"/>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公务用车购置及运行费</w:t>
            </w:r>
          </w:p>
        </w:tc>
        <w:tc>
          <w:tcPr>
            <w:tcW w:w="1043"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w:t>
            </w:r>
          </w:p>
          <w:p>
            <w:pPr>
              <w:pStyle w:val="22"/>
              <w:widowControl w:val="0"/>
              <w:jc w:val="center"/>
              <w:rPr>
                <w:rFonts w:hint="eastAsia" w:ascii="仿宋" w:hAnsi="仿宋" w:eastAsia="仿宋" w:cs="仿宋"/>
                <w:sz w:val="20"/>
              </w:rPr>
            </w:pPr>
            <w:r>
              <w:rPr>
                <w:rFonts w:hint="eastAsia" w:ascii="仿宋" w:hAnsi="仿宋" w:eastAsia="仿宋" w:cs="仿宋"/>
              </w:rPr>
              <w:t>接待费</w:t>
            </w:r>
          </w:p>
        </w:tc>
        <w:tc>
          <w:tcPr>
            <w:tcW w:w="1057"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c>
          <w:tcPr>
            <w:tcW w:w="1027"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CellMar>
            <w:top w:w="55" w:type="dxa"/>
            <w:left w:w="55" w:type="dxa"/>
            <w:bottom w:w="55" w:type="dxa"/>
            <w:right w:w="55" w:type="dxa"/>
          </w:tblCellMar>
        </w:tblPrEx>
        <w:trPr>
          <w:trHeight w:val="621" w:hRule="exact"/>
        </w:trPr>
        <w:tc>
          <w:tcPr>
            <w:tcW w:w="1044"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4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2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02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99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公务用车运行费</w:t>
            </w:r>
          </w:p>
        </w:tc>
        <w:tc>
          <w:tcPr>
            <w:tcW w:w="1026"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43"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
                <w:szCs w:val="2"/>
              </w:rPr>
            </w:pPr>
          </w:p>
        </w:tc>
        <w:tc>
          <w:tcPr>
            <w:tcW w:w="1058"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948"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ascii="仿宋" w:hAnsi="仿宋" w:eastAsia="仿宋" w:cs="仿宋"/>
              </w:rPr>
              <w:t>小计</w:t>
            </w:r>
          </w:p>
        </w:tc>
        <w:tc>
          <w:tcPr>
            <w:tcW w:w="1089"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hint="eastAsia" w:ascii="仿宋" w:hAnsi="仿宋" w:eastAsia="仿宋" w:cs="仿宋"/>
              </w:rPr>
              <w:t>公务用车购置费</w:t>
            </w:r>
          </w:p>
        </w:tc>
        <w:tc>
          <w:tcPr>
            <w:tcW w:w="1042"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hint="eastAsia" w:ascii="仿宋" w:hAnsi="仿宋" w:eastAsia="仿宋" w:cs="仿宋"/>
              </w:rPr>
              <w:t>公务用车运行费</w:t>
            </w:r>
          </w:p>
        </w:tc>
        <w:tc>
          <w:tcPr>
            <w:tcW w:w="1043"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57"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27"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r>
      <w:tr>
        <w:trPr>
          <w:cantSplit/>
          <w:trHeight w:val="380" w:hRule="atLeast"/>
        </w:trPr>
        <w:tc>
          <w:tcPr>
            <w:tcW w:w="104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28.68</w:t>
            </w:r>
          </w:p>
        </w:tc>
        <w:tc>
          <w:tcPr>
            <w:tcW w:w="104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2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26.40</w:t>
            </w:r>
          </w:p>
        </w:tc>
        <w:tc>
          <w:tcPr>
            <w:tcW w:w="102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99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26.40</w:t>
            </w:r>
          </w:p>
        </w:tc>
        <w:tc>
          <w:tcPr>
            <w:tcW w:w="102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2.28</w:t>
            </w:r>
          </w:p>
        </w:tc>
        <w:tc>
          <w:tcPr>
            <w:tcW w:w="1043"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1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5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10.14</w:t>
            </w:r>
          </w:p>
        </w:tc>
        <w:tc>
          <w:tcPr>
            <w:tcW w:w="101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94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8.83</w:t>
            </w:r>
          </w:p>
        </w:tc>
        <w:tc>
          <w:tcPr>
            <w:tcW w:w="1089"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42"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8.83</w:t>
            </w:r>
          </w:p>
        </w:tc>
        <w:tc>
          <w:tcPr>
            <w:tcW w:w="104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1.31</w:t>
            </w:r>
          </w:p>
        </w:tc>
        <w:tc>
          <w:tcPr>
            <w:tcW w:w="1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2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r>
    </w:tbl>
    <w:p>
      <w:pPr>
        <w:spacing w:before="30" w:after="33"/>
        <w:ind w:left="220" w:leftChars="100" w:firstLine="0" w:firstLineChars="0"/>
        <w:rPr>
          <w:rFonts w:hint="eastAsia" w:ascii="仿宋" w:hAnsi="仿宋" w:eastAsia="仿宋" w:cs="仿宋"/>
          <w:sz w:val="22"/>
          <w:szCs w:val="22"/>
        </w:rPr>
      </w:pPr>
      <w:r>
        <w:rPr>
          <w:rFonts w:hint="eastAsia" w:ascii="仿宋" w:hAnsi="仿宋" w:eastAsia="仿宋" w:cs="仿宋"/>
          <w:sz w:val="22"/>
          <w:szCs w:val="22"/>
        </w:rPr>
        <w:t>相关统计数：</w:t>
      </w:r>
    </w:p>
    <w:tbl>
      <w:tblPr>
        <w:tblStyle w:val="12"/>
        <w:tblW w:w="11798" w:type="dxa"/>
        <w:tblInd w:w="62" w:type="dxa"/>
        <w:tblLayout w:type="fixed"/>
        <w:tblCellMar>
          <w:top w:w="55" w:type="dxa"/>
          <w:left w:w="55" w:type="dxa"/>
          <w:bottom w:w="55" w:type="dxa"/>
          <w:right w:w="55" w:type="dxa"/>
        </w:tblCellMar>
      </w:tblPr>
      <w:tblGrid>
        <w:gridCol w:w="4028"/>
        <w:gridCol w:w="1976"/>
        <w:gridCol w:w="3908"/>
        <w:gridCol w:w="1886"/>
      </w:tblGrid>
      <w:tr>
        <w:trPr>
          <w:cantSplit/>
          <w:trHeight w:val="214"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6</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12</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67</w:t>
            </w:r>
          </w:p>
        </w:tc>
      </w:tr>
      <w:tr>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r>
      <w:tr>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r>
      <w:tr>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r>
    </w:tbl>
    <w:p>
      <w:pPr>
        <w:widowControl w:val="0"/>
        <w:suppressAutoHyphens/>
        <w:bidi w:val="0"/>
        <w:spacing w:before="0" w:after="0"/>
        <w:ind w:left="0" w:leftChars="0" w:right="-2"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w:t>
      </w:r>
      <w:r>
        <w:rPr>
          <w:rFonts w:hint="eastAsia" w:ascii="仿宋" w:hAnsi="仿宋" w:eastAsia="仿宋" w:cs="仿宋"/>
          <w:b w:val="0"/>
          <w:bCs w:val="0"/>
          <w:sz w:val="22"/>
          <w:szCs w:val="22"/>
          <w:lang w:val="en-US" w:eastAsia="zh-CN"/>
        </w:rPr>
        <w:t>本表反映本年度财政拨款“三公”经费、会议费和培训费支出情况。其中，预算数为全年预算数，反映按规定程序调整后的预算数；决算数是包括当年财政拨款和以前年度结转资金安排的实际支出。本表金额单位转换时可能存在尾数误差</w:t>
      </w:r>
      <w:r>
        <w:rPr>
          <w:rFonts w:hint="eastAsia" w:ascii="仿宋" w:hAnsi="仿宋" w:eastAsia="仿宋" w:cs="仿宋"/>
          <w:b w:val="0"/>
          <w:bCs w:val="0"/>
          <w:sz w:val="22"/>
          <w:szCs w:val="22"/>
        </w:rPr>
        <w:t>。</w:t>
      </w:r>
    </w:p>
    <w:p>
      <w:pPr>
        <w:widowControl w:val="0"/>
        <w:suppressAutoHyphens/>
        <w:bidi w:val="0"/>
        <w:spacing w:before="0" w:after="0"/>
        <w:ind w:left="227" w:right="0" w:firstLine="220" w:firstLineChars="100"/>
        <w:jc w:val="both"/>
        <w:rPr>
          <w:rFonts w:hint="eastAsia" w:ascii="仿宋" w:hAnsi="仿宋" w:eastAsia="仿宋" w:cs="仿宋"/>
          <w:b w:val="0"/>
          <w:bCs w:val="0"/>
          <w:sz w:val="22"/>
          <w:szCs w:val="22"/>
        </w:rPr>
        <w:sectPr>
          <w:footerReference r:id="rId16" w:type="default"/>
          <w:pgSz w:w="16838" w:h="11906" w:orient="landscape"/>
          <w:pgMar w:top="720" w:right="153" w:bottom="720" w:left="153"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400" w:type="dxa"/>
        <w:tblInd w:w="62" w:type="dxa"/>
        <w:tblLayout w:type="fixed"/>
        <w:tblCellMar>
          <w:top w:w="55" w:type="dxa"/>
          <w:left w:w="55" w:type="dxa"/>
          <w:bottom w:w="55" w:type="dxa"/>
          <w:right w:w="55" w:type="dxa"/>
        </w:tblCellMar>
      </w:tblPr>
      <w:tblGrid>
        <w:gridCol w:w="1431"/>
        <w:gridCol w:w="6995"/>
        <w:gridCol w:w="2684"/>
        <w:gridCol w:w="2432"/>
        <w:gridCol w:w="1858"/>
      </w:tblGrid>
      <w:tr>
        <w:trPr>
          <w:trHeight w:val="395" w:hRule="atLeast"/>
        </w:trPr>
        <w:tc>
          <w:tcPr>
            <w:tcW w:w="15400"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政府性基金预算支出决算表</w:t>
            </w:r>
          </w:p>
        </w:tc>
      </w:tr>
      <w:tr>
        <w:tblPrEx>
          <w:tblCellMar>
            <w:top w:w="55" w:type="dxa"/>
            <w:left w:w="55" w:type="dxa"/>
            <w:bottom w:w="55" w:type="dxa"/>
            <w:right w:w="55" w:type="dxa"/>
          </w:tblCellMar>
        </w:tblPrEx>
        <w:trPr>
          <w:trHeight w:val="323" w:hRule="atLeast"/>
        </w:trPr>
        <w:tc>
          <w:tcPr>
            <w:tcW w:w="8426" w:type="dxa"/>
            <w:gridSpan w:val="2"/>
          </w:tcPr>
          <w:p>
            <w:pPr>
              <w:pStyle w:val="22"/>
              <w:widowControl w:val="0"/>
              <w:rPr>
                <w:rFonts w:hint="eastAsia" w:ascii="仿宋" w:hAnsi="仿宋" w:eastAsia="仿宋" w:cs="仿宋"/>
                <w:sz w:val="20"/>
              </w:rPr>
            </w:pPr>
          </w:p>
        </w:tc>
        <w:tc>
          <w:tcPr>
            <w:tcW w:w="2684" w:type="dxa"/>
          </w:tcPr>
          <w:p>
            <w:pPr>
              <w:pStyle w:val="22"/>
              <w:widowControl w:val="0"/>
              <w:rPr>
                <w:rFonts w:hint="eastAsia" w:ascii="仿宋" w:hAnsi="仿宋" w:eastAsia="仿宋" w:cs="仿宋"/>
                <w:sz w:val="27"/>
              </w:rPr>
            </w:pPr>
          </w:p>
        </w:tc>
        <w:tc>
          <w:tcPr>
            <w:tcW w:w="2432" w:type="dxa"/>
          </w:tcPr>
          <w:p>
            <w:pPr>
              <w:pStyle w:val="22"/>
              <w:widowControl w:val="0"/>
              <w:rPr>
                <w:rFonts w:hint="eastAsia" w:ascii="仿宋" w:hAnsi="仿宋" w:eastAsia="仿宋" w:cs="仿宋"/>
                <w:sz w:val="20"/>
              </w:rPr>
            </w:pPr>
          </w:p>
        </w:tc>
        <w:tc>
          <w:tcPr>
            <w:tcW w:w="1858"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公开10表</w:t>
            </w:r>
          </w:p>
        </w:tc>
      </w:tr>
      <w:tr>
        <w:tblPrEx>
          <w:tblCellMar>
            <w:top w:w="55" w:type="dxa"/>
            <w:left w:w="55" w:type="dxa"/>
            <w:bottom w:w="55" w:type="dxa"/>
            <w:right w:w="55" w:type="dxa"/>
          </w:tblCellMar>
        </w:tblPrEx>
        <w:trPr>
          <w:trHeight w:val="152" w:hRule="atLeast"/>
        </w:trPr>
        <w:tc>
          <w:tcPr>
            <w:tcW w:w="13542"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江苏省看守所</w:t>
            </w:r>
          </w:p>
        </w:tc>
        <w:tc>
          <w:tcPr>
            <w:tcW w:w="1858"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67" w:hRule="atLeast"/>
        </w:trPr>
        <w:tc>
          <w:tcPr>
            <w:tcW w:w="8426"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684"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2432"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858"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trHeight w:val="427" w:hRule="atLeast"/>
        </w:trPr>
        <w:tc>
          <w:tcPr>
            <w:tcW w:w="14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6995"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68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432"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858"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55" w:type="dxa"/>
            <w:left w:w="55" w:type="dxa"/>
            <w:bottom w:w="55" w:type="dxa"/>
            <w:right w:w="55" w:type="dxa"/>
          </w:tblCellMar>
        </w:tblPrEx>
        <w:trPr>
          <w:trHeight w:val="275" w:hRule="atLeast"/>
        </w:trPr>
        <w:tc>
          <w:tcPr>
            <w:tcW w:w="8426"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68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243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858" w:type="dxa"/>
            <w:tcBorders>
              <w:left w:val="single" w:color="000000" w:sz="4" w:space="0"/>
              <w:bottom w:val="single" w:color="000000" w:sz="4" w:space="0"/>
              <w:right w:val="single" w:color="000000" w:sz="4" w:space="0"/>
            </w:tcBorders>
            <w:vAlign w:val="center"/>
          </w:tcPr>
          <w:p>
            <w:pPr>
              <w:pStyle w:val="22"/>
              <w:widowControl w:val="0"/>
              <w:jc w:val="center"/>
              <w:rPr>
                <w:rFonts w:hint="default" w:ascii="仿宋" w:hAnsi="仿宋" w:eastAsia="仿宋" w:cs="仿宋"/>
                <w:lang w:val="en-US" w:eastAsia="zh-CN"/>
              </w:rPr>
            </w:pPr>
            <w:r>
              <w:rPr>
                <w:rFonts w:hint="eastAsia" w:ascii="仿宋" w:hAnsi="仿宋" w:eastAsia="仿宋" w:cs="仿宋"/>
                <w:lang w:val="en-US" w:eastAsia="zh-CN"/>
              </w:rPr>
              <w:t>3</w:t>
            </w:r>
          </w:p>
        </w:tc>
      </w:tr>
      <w:tr>
        <w:tblPrEx>
          <w:tblCellMar>
            <w:top w:w="55" w:type="dxa"/>
            <w:left w:w="55" w:type="dxa"/>
            <w:bottom w:w="55" w:type="dxa"/>
            <w:right w:w="55" w:type="dxa"/>
          </w:tblCellMar>
        </w:tblPrEx>
        <w:trPr>
          <w:trHeight w:val="389" w:hRule="exact"/>
        </w:trPr>
        <w:tc>
          <w:tcPr>
            <w:tcW w:w="8426"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68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43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85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r>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bl>
    <w:p>
      <w:pPr>
        <w:spacing w:before="25" w:after="0"/>
        <w:ind w:left="0" w:lef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注：本表反映本年度政府性基金预算财政拨款支出情况。</w:t>
      </w:r>
    </w:p>
    <w:p>
      <w:pPr>
        <w:numPr>
          <w:ilvl w:val="0"/>
          <w:numId w:val="0"/>
        </w:numPr>
        <w:spacing w:before="25" w:after="0"/>
        <w:ind w:left="440" w:leftChars="200" w:firstLine="0" w:firstLineChars="0"/>
        <w:jc w:val="both"/>
        <w:rPr>
          <w:rFonts w:hint="default" w:ascii="仿宋" w:hAnsi="仿宋" w:eastAsia="仿宋" w:cs="仿宋"/>
          <w:b w:val="0"/>
          <w:bCs w:val="0"/>
          <w:sz w:val="22"/>
          <w:szCs w:val="22"/>
          <w:lang w:val="en-US" w:eastAsia="zh-CN"/>
        </w:rPr>
      </w:pPr>
      <w:r>
        <w:rPr>
          <w:rFonts w:ascii="仿宋" w:hAnsi="仿宋" w:eastAsia="仿宋" w:cs="仿宋"/>
          <w:sz w:val="22"/>
        </w:rPr>
        <w:t>本单位无政府性基金预算收入支出决算，故本表为空。</w:t>
      </w:r>
    </w:p>
    <w:p>
      <w:pPr>
        <w:widowControl w:val="0"/>
        <w:numPr>
          <w:ilvl w:val="0"/>
          <w:numId w:val="0"/>
        </w:numPr>
        <w:suppressAutoHyphens/>
        <w:bidi w:val="0"/>
        <w:spacing w:before="25" w:after="0"/>
        <w:jc w:val="both"/>
        <w:rPr>
          <w:rFonts w:hint="default" w:ascii="仿宋" w:hAnsi="仿宋" w:eastAsia="仿宋" w:cs="仿宋"/>
          <w:b w:val="0"/>
          <w:bCs w:val="0"/>
          <w:sz w:val="22"/>
          <w:szCs w:val="22"/>
          <w:lang w:val="en-US" w:eastAsia="zh-CN"/>
        </w:rPr>
        <w:sectPr>
          <w:footerReference r:id="rId17"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400" w:type="dxa"/>
        <w:tblInd w:w="47" w:type="dxa"/>
        <w:tblLayout w:type="fixed"/>
        <w:tblCellMar>
          <w:top w:w="55" w:type="dxa"/>
          <w:left w:w="55" w:type="dxa"/>
          <w:bottom w:w="55" w:type="dxa"/>
          <w:right w:w="55" w:type="dxa"/>
        </w:tblCellMar>
      </w:tblPr>
      <w:tblGrid>
        <w:gridCol w:w="1462"/>
        <w:gridCol w:w="7058"/>
        <w:gridCol w:w="2510"/>
        <w:gridCol w:w="2309"/>
        <w:gridCol w:w="2061"/>
      </w:tblGrid>
      <w:tr>
        <w:tblPrEx>
          <w:tblCellMar>
            <w:top w:w="55" w:type="dxa"/>
            <w:left w:w="55" w:type="dxa"/>
            <w:bottom w:w="55" w:type="dxa"/>
            <w:right w:w="55" w:type="dxa"/>
          </w:tblCellMar>
        </w:tblPrEx>
        <w:trPr>
          <w:trHeight w:val="395" w:hRule="atLeast"/>
        </w:trPr>
        <w:tc>
          <w:tcPr>
            <w:tcW w:w="15400"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国有资本经营预算支出决算表</w:t>
            </w:r>
          </w:p>
        </w:tc>
      </w:tr>
      <w:tr>
        <w:tblPrEx>
          <w:tblCellMar>
            <w:top w:w="55" w:type="dxa"/>
            <w:left w:w="55" w:type="dxa"/>
            <w:bottom w:w="55" w:type="dxa"/>
            <w:right w:w="55" w:type="dxa"/>
          </w:tblCellMar>
        </w:tblPrEx>
        <w:trPr>
          <w:trHeight w:val="323" w:hRule="atLeast"/>
        </w:trPr>
        <w:tc>
          <w:tcPr>
            <w:tcW w:w="8520" w:type="dxa"/>
            <w:gridSpan w:val="2"/>
          </w:tcPr>
          <w:p>
            <w:pPr>
              <w:pStyle w:val="22"/>
              <w:widowControl w:val="0"/>
              <w:rPr>
                <w:rFonts w:hint="eastAsia" w:ascii="仿宋" w:hAnsi="仿宋" w:eastAsia="仿宋" w:cs="仿宋"/>
                <w:sz w:val="20"/>
              </w:rPr>
            </w:pPr>
          </w:p>
        </w:tc>
        <w:tc>
          <w:tcPr>
            <w:tcW w:w="2510" w:type="dxa"/>
          </w:tcPr>
          <w:p>
            <w:pPr>
              <w:pStyle w:val="22"/>
              <w:widowControl w:val="0"/>
              <w:rPr>
                <w:rFonts w:hint="eastAsia" w:ascii="仿宋" w:hAnsi="仿宋" w:eastAsia="仿宋" w:cs="仿宋"/>
                <w:sz w:val="27"/>
              </w:rPr>
            </w:pPr>
          </w:p>
        </w:tc>
        <w:tc>
          <w:tcPr>
            <w:tcW w:w="2309" w:type="dxa"/>
          </w:tcPr>
          <w:p>
            <w:pPr>
              <w:pStyle w:val="22"/>
              <w:widowControl w:val="0"/>
              <w:rPr>
                <w:rFonts w:hint="eastAsia" w:ascii="仿宋" w:hAnsi="仿宋" w:eastAsia="仿宋" w:cs="仿宋"/>
                <w:sz w:val="20"/>
              </w:rPr>
            </w:pPr>
          </w:p>
        </w:tc>
        <w:tc>
          <w:tcPr>
            <w:tcW w:w="206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w:t>
            </w:r>
            <w:r>
              <w:rPr>
                <w:rFonts w:hint="eastAsia" w:ascii="仿宋" w:hAnsi="仿宋" w:eastAsia="仿宋" w:cs="仿宋"/>
                <w:lang w:val="en-US" w:eastAsia="zh-CN"/>
              </w:rPr>
              <w:t>1</w:t>
            </w:r>
            <w:r>
              <w:rPr>
                <w:rFonts w:hint="eastAsia" w:ascii="仿宋" w:hAnsi="仿宋" w:eastAsia="仿宋" w:cs="仿宋"/>
              </w:rPr>
              <w:t>表</w:t>
            </w:r>
          </w:p>
        </w:tc>
      </w:tr>
      <w:tr>
        <w:tblPrEx>
          <w:tblCellMar>
            <w:top w:w="55" w:type="dxa"/>
            <w:left w:w="55" w:type="dxa"/>
            <w:bottom w:w="55" w:type="dxa"/>
            <w:right w:w="55" w:type="dxa"/>
          </w:tblCellMar>
        </w:tblPrEx>
        <w:trPr>
          <w:trHeight w:val="152" w:hRule="atLeast"/>
        </w:trPr>
        <w:tc>
          <w:tcPr>
            <w:tcW w:w="13339"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江苏省看守所</w:t>
            </w:r>
          </w:p>
        </w:tc>
        <w:tc>
          <w:tcPr>
            <w:tcW w:w="206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67" w:hRule="atLeast"/>
        </w:trPr>
        <w:tc>
          <w:tcPr>
            <w:tcW w:w="8520"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10"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2309"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2061"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trHeight w:val="427" w:hRule="atLeast"/>
        </w:trPr>
        <w:tc>
          <w:tcPr>
            <w:tcW w:w="146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705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510"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309"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2061"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55" w:type="dxa"/>
            <w:left w:w="55" w:type="dxa"/>
            <w:bottom w:w="55" w:type="dxa"/>
            <w:right w:w="55" w:type="dxa"/>
          </w:tblCellMar>
        </w:tblPrEx>
        <w:trPr>
          <w:trHeight w:val="275" w:hRule="atLeast"/>
        </w:trPr>
        <w:tc>
          <w:tcPr>
            <w:tcW w:w="852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51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230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2061" w:type="dxa"/>
            <w:tcBorders>
              <w:left w:val="single" w:color="000000" w:sz="4" w:space="0"/>
              <w:bottom w:val="single" w:color="000000" w:sz="4" w:space="0"/>
              <w:right w:val="single" w:color="000000" w:sz="4" w:space="0"/>
            </w:tcBorders>
            <w:vAlign w:val="center"/>
          </w:tcPr>
          <w:p>
            <w:pPr>
              <w:pStyle w:val="22"/>
              <w:widowControl w:val="0"/>
              <w:jc w:val="center"/>
              <w:rPr>
                <w:rFonts w:hint="default" w:ascii="仿宋" w:hAnsi="仿宋" w:eastAsia="仿宋" w:cs="仿宋"/>
                <w:lang w:val="en-US" w:eastAsia="zh-CN"/>
              </w:rPr>
            </w:pPr>
            <w:r>
              <w:rPr>
                <w:rFonts w:hint="eastAsia" w:ascii="仿宋" w:hAnsi="仿宋" w:eastAsia="仿宋" w:cs="仿宋"/>
                <w:lang w:val="en-US" w:eastAsia="zh-CN"/>
              </w:rPr>
              <w:t>3</w:t>
            </w:r>
          </w:p>
        </w:tc>
      </w:tr>
      <w:tr>
        <w:tblPrEx>
          <w:tblCellMar>
            <w:top w:w="55" w:type="dxa"/>
            <w:left w:w="55" w:type="dxa"/>
            <w:bottom w:w="55" w:type="dxa"/>
            <w:right w:w="55" w:type="dxa"/>
          </w:tblCellMar>
        </w:tblPrEx>
        <w:trPr>
          <w:trHeight w:val="389" w:hRule="exact"/>
        </w:trPr>
        <w:tc>
          <w:tcPr>
            <w:tcW w:w="852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51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30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061"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bl>
    <w:p>
      <w:pPr>
        <w:bidi w:val="0"/>
        <w:ind w:left="0" w:lef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注：本表反映本年度国有资本经营预算财政拨款支出情况。</w:t>
      </w:r>
    </w:p>
    <w:p>
      <w:pPr>
        <w:numPr>
          <w:ilvl w:val="0"/>
          <w:numId w:val="0"/>
        </w:numPr>
        <w:bidi w:val="0"/>
        <w:ind w:left="440" w:leftChars="200" w:firstLine="0" w:firstLineChars="0"/>
        <w:jc w:val="both"/>
        <w:rPr>
          <w:rFonts w:hint="default" w:ascii="仿宋" w:hAnsi="仿宋" w:eastAsia="仿宋" w:cs="仿宋"/>
          <w:b w:val="0"/>
          <w:bCs w:val="0"/>
          <w:sz w:val="22"/>
          <w:szCs w:val="22"/>
          <w:lang w:val="en-US" w:eastAsia="zh-CN"/>
        </w:rPr>
      </w:pPr>
      <w:r>
        <w:rPr>
          <w:rFonts w:ascii="仿宋" w:hAnsi="仿宋" w:eastAsia="仿宋" w:cs="仿宋"/>
          <w:sz w:val="22"/>
        </w:rPr>
        <w:t>本单位无</w:t>
      </w:r>
      <w:r>
        <w:rPr>
          <w:rFonts w:hint="eastAsia" w:ascii="仿宋" w:hAnsi="仿宋" w:eastAsia="仿宋" w:cs="仿宋"/>
          <w:b w:val="0"/>
          <w:bCs w:val="0"/>
          <w:sz w:val="22"/>
          <w:szCs w:val="22"/>
        </w:rPr>
        <w:t>国有资本经营预算支出</w:t>
      </w:r>
      <w:r>
        <w:rPr>
          <w:rFonts w:hint="eastAsia" w:ascii="仿宋" w:hAnsi="仿宋" w:eastAsia="仿宋" w:cs="仿宋"/>
          <w:b w:val="0"/>
          <w:bCs w:val="0"/>
          <w:sz w:val="22"/>
          <w:szCs w:val="22"/>
          <w:lang w:val="en-US" w:eastAsia="zh-CN"/>
        </w:rPr>
        <w:t>决算，故本表为空。</w:t>
      </w:r>
    </w:p>
    <w:p>
      <w:pPr>
        <w:spacing w:before="25" w:after="0"/>
        <w:ind w:left="-220" w:leftChars="-100" w:firstLine="0" w:firstLineChars="0"/>
        <w:jc w:val="both"/>
        <w:rPr>
          <w:rFonts w:hint="default" w:ascii="仿宋" w:hAnsi="仿宋" w:eastAsia="仿宋" w:cs="仿宋"/>
          <w:b w:val="0"/>
          <w:bCs w:val="0"/>
          <w:sz w:val="22"/>
          <w:szCs w:val="22"/>
          <w:lang w:val="en-US" w:eastAsia="zh-CN"/>
        </w:rPr>
        <w:sectPr>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66" w:type="dxa"/>
        <w:tblInd w:w="53" w:type="dxa"/>
        <w:tblLayout w:type="fixed"/>
        <w:tblCellMar>
          <w:top w:w="55" w:type="dxa"/>
          <w:left w:w="55" w:type="dxa"/>
          <w:bottom w:w="55" w:type="dxa"/>
          <w:right w:w="55" w:type="dxa"/>
        </w:tblCellMar>
      </w:tblPr>
      <w:tblGrid>
        <w:gridCol w:w="1642"/>
        <w:gridCol w:w="4990"/>
        <w:gridCol w:w="3834"/>
      </w:tblGrid>
      <w:tr>
        <w:tblPrEx>
          <w:tblCellMar>
            <w:top w:w="55" w:type="dxa"/>
            <w:left w:w="55" w:type="dxa"/>
            <w:bottom w:w="55" w:type="dxa"/>
            <w:right w:w="55" w:type="dxa"/>
          </w:tblCellMar>
        </w:tblPrEx>
        <w:trPr>
          <w:trHeight w:val="319" w:hRule="atLeast"/>
        </w:trPr>
        <w:tc>
          <w:tcPr>
            <w:tcW w:w="10466" w:type="dxa"/>
            <w:gridSpan w:val="3"/>
          </w:tcPr>
          <w:p>
            <w:pPr>
              <w:pStyle w:val="22"/>
              <w:widowControl w:val="0"/>
              <w:tabs>
                <w:tab w:val="left" w:pos="610"/>
              </w:tabs>
              <w:spacing w:before="28" w:after="0"/>
              <w:ind w:left="8" w:firstLine="0"/>
              <w:jc w:val="center"/>
              <w:rPr>
                <w:rFonts w:hint="eastAsia" w:ascii="仿宋" w:hAnsi="仿宋" w:eastAsia="仿宋" w:cs="仿宋"/>
                <w:b/>
                <w:bCs/>
                <w:sz w:val="44"/>
                <w:szCs w:val="44"/>
              </w:rPr>
            </w:pPr>
            <w:r>
              <w:rPr>
                <w:rFonts w:hint="eastAsia" w:cs="宋体"/>
                <w:b/>
                <w:bCs/>
                <w:color w:val="000000"/>
                <w:kern w:val="0"/>
                <w:sz w:val="36"/>
                <w:szCs w:val="36"/>
                <w:lang w:val="en-US" w:eastAsia="ar-SA" w:bidi="zh-CN"/>
              </w:rPr>
              <w:t>财政拨款</w:t>
            </w:r>
            <w:r>
              <w:rPr>
                <w:rFonts w:hint="eastAsia" w:ascii="宋体" w:hAnsi="宋体" w:eastAsia="宋体" w:cs="宋体"/>
                <w:b/>
                <w:bCs/>
                <w:color w:val="000000"/>
                <w:kern w:val="0"/>
                <w:sz w:val="36"/>
                <w:szCs w:val="36"/>
                <w:lang w:val="zh-CN" w:eastAsia="ar-SA" w:bidi="zh-CN"/>
              </w:rPr>
              <w:t>机关运行经费支出决算表</w:t>
            </w:r>
          </w:p>
        </w:tc>
      </w:tr>
      <w:tr>
        <w:tblPrEx>
          <w:tblCellMar>
            <w:top w:w="55" w:type="dxa"/>
            <w:left w:w="55" w:type="dxa"/>
            <w:bottom w:w="55" w:type="dxa"/>
            <w:right w:w="55" w:type="dxa"/>
          </w:tblCellMar>
        </w:tblPrEx>
        <w:trPr>
          <w:trHeight w:val="90" w:hRule="atLeast"/>
        </w:trPr>
        <w:tc>
          <w:tcPr>
            <w:tcW w:w="6632" w:type="dxa"/>
            <w:gridSpan w:val="2"/>
          </w:tcPr>
          <w:p>
            <w:pPr>
              <w:pStyle w:val="22"/>
              <w:widowControl w:val="0"/>
              <w:rPr>
                <w:rFonts w:hint="eastAsia" w:ascii="仿宋" w:hAnsi="仿宋" w:eastAsia="仿宋" w:cs="仿宋"/>
                <w:sz w:val="20"/>
              </w:rPr>
            </w:pPr>
          </w:p>
        </w:tc>
        <w:tc>
          <w:tcPr>
            <w:tcW w:w="3834" w:type="dxa"/>
            <w:vAlign w:val="center"/>
          </w:tcPr>
          <w:p>
            <w:pPr>
              <w:pStyle w:val="22"/>
              <w:widowControl w:val="0"/>
              <w:jc w:val="right"/>
              <w:rPr>
                <w:rFonts w:hint="eastAsia" w:ascii="仿宋" w:hAnsi="仿宋" w:eastAsia="仿宋" w:cs="仿宋"/>
              </w:rPr>
            </w:pPr>
            <w:r>
              <w:rPr>
                <w:rFonts w:hint="eastAsia" w:ascii="仿宋" w:hAnsi="仿宋" w:eastAsia="仿宋" w:cs="仿宋"/>
              </w:rPr>
              <w:t>公开1</w:t>
            </w:r>
            <w:r>
              <w:rPr>
                <w:rFonts w:hint="eastAsia" w:ascii="仿宋" w:hAnsi="仿宋" w:eastAsia="仿宋" w:cs="仿宋"/>
                <w:lang w:val="en-US" w:eastAsia="zh-CN"/>
              </w:rPr>
              <w:t>2</w:t>
            </w:r>
            <w:r>
              <w:rPr>
                <w:rFonts w:hint="eastAsia" w:ascii="仿宋" w:hAnsi="仿宋" w:eastAsia="仿宋" w:cs="仿宋"/>
              </w:rPr>
              <w:t>表</w:t>
            </w:r>
          </w:p>
        </w:tc>
      </w:tr>
      <w:tr>
        <w:tblPrEx>
          <w:tblCellMar>
            <w:top w:w="55" w:type="dxa"/>
            <w:left w:w="55" w:type="dxa"/>
            <w:bottom w:w="55" w:type="dxa"/>
            <w:right w:w="55" w:type="dxa"/>
          </w:tblCellMar>
        </w:tblPrEx>
        <w:trPr>
          <w:trHeight w:val="90" w:hRule="atLeast"/>
        </w:trPr>
        <w:tc>
          <w:tcPr>
            <w:tcW w:w="6632" w:type="dxa"/>
            <w:gridSpan w:val="2"/>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江苏省看守所</w:t>
            </w:r>
          </w:p>
        </w:tc>
        <w:tc>
          <w:tcPr>
            <w:tcW w:w="3834"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319" w:hRule="atLeast"/>
        </w:trPr>
        <w:tc>
          <w:tcPr>
            <w:tcW w:w="6632"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834"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CellMar>
            <w:top w:w="55" w:type="dxa"/>
            <w:left w:w="55" w:type="dxa"/>
            <w:bottom w:w="55" w:type="dxa"/>
            <w:right w:w="55" w:type="dxa"/>
          </w:tblCellMar>
        </w:tblPrEx>
        <w:trPr>
          <w:trHeight w:val="363" w:hRule="atLeast"/>
        </w:trPr>
        <w:tc>
          <w:tcPr>
            <w:tcW w:w="16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499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834"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229" w:hRule="atLeast"/>
        </w:trPr>
        <w:tc>
          <w:tcPr>
            <w:tcW w:w="6632"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834"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278.14</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278.14</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办公费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14.84</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印刷费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0.17</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咨询费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手续费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水费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14.74</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84.44</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邮电费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22.48</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取暖费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物业管理费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差旅费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1.17</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因公出国（境）费用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维修（护）费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9.55</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租赁费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会议费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培训费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公务接待费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1.31</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专用材料费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被装购置费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专用燃料费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劳务费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委托业务费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工会经费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1.50</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福利费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1.41</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30231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公务用车运行维护费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8.83</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30239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其他交通费用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13.74</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30240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税金及附加费用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103.96</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债务利息及费用支出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房屋建筑物购建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办公设备购置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基础设施建设</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大型修缮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信息网络及软件购置更新</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物资储备</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土地补偿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安置补助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地上附着物和青苗补偿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拆迁补偿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公务用车购置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其他交通工具购置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31021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文物和陈列品购置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31022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无形资产购置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对企业补助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其他支出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spacing w:before="25" w:after="0"/>
        <w:ind w:left="0" w:leftChars="0" w:right="-92" w:rightChars="-42" w:firstLine="0" w:firstLineChars="0"/>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rPr>
        <w:t>注：“机关运行经费” 指行政单位（含参照公务员法管理的事业单位）使用</w:t>
      </w:r>
      <w:r>
        <w:rPr>
          <w:rFonts w:hint="eastAsia" w:ascii="仿宋" w:hAnsi="仿宋" w:eastAsia="仿宋" w:cs="仿宋"/>
          <w:b w:val="0"/>
          <w:bCs w:val="0"/>
          <w:sz w:val="22"/>
          <w:szCs w:val="22"/>
          <w:lang w:val="en-US" w:eastAsia="zh-CN"/>
        </w:rPr>
        <w:t>财政拨款</w:t>
      </w:r>
      <w:r>
        <w:rPr>
          <w:rFonts w:hint="eastAsia" w:ascii="仿宋" w:hAnsi="仿宋" w:eastAsia="仿宋" w:cs="仿宋"/>
          <w:b w:val="0"/>
          <w:bCs w:val="0"/>
          <w:sz w:val="22"/>
          <w:szCs w:val="22"/>
        </w:rPr>
        <w:t>安排的基本支出中的日常公用经费支出，包括办公及印刷费、邮电费、差旅费、会议费、福利费、日常维修费、专用材料及一般设备购置费、办公用房水电费、办公用房取暖费、办公用房物业管理费、公务用车运行维护费及其他费用。本表金额单位转换时可能存在尾数误差。</w:t>
      </w:r>
    </w:p>
    <w:p>
      <w:pPr>
        <w:numPr>
          <w:ilvl w:val="0"/>
          <w:numId w:val="0"/>
        </w:numPr>
        <w:tabs>
          <w:tab w:val="left" w:pos="440"/>
        </w:tabs>
        <w:spacing w:before="25" w:after="0"/>
        <w:ind w:left="440" w:leftChars="200" w:firstLine="0" w:firstLineChars="0"/>
        <w:jc w:val="both"/>
        <w:rPr>
          <w:rFonts w:hint="eastAsia" w:ascii="仿宋" w:hAnsi="仿宋" w:eastAsia="仿宋" w:cs="仿宋"/>
          <w:b w:val="0"/>
          <w:bCs w:val="0"/>
          <w:sz w:val="22"/>
          <w:szCs w:val="22"/>
          <w:lang w:val="en-US" w:eastAsia="zh-CN"/>
        </w:rPr>
        <w:sectPr>
          <w:footerReference r:id="rId18" w:type="default"/>
          <w:type w:val="continuous"/>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59" w:type="dxa"/>
        <w:tblInd w:w="45" w:type="dxa"/>
        <w:tblLayout w:type="fixed"/>
        <w:tblCellMar>
          <w:top w:w="55" w:type="dxa"/>
          <w:left w:w="55" w:type="dxa"/>
          <w:bottom w:w="55" w:type="dxa"/>
          <w:right w:w="55" w:type="dxa"/>
        </w:tblCellMar>
      </w:tblPr>
      <w:tblGrid>
        <w:gridCol w:w="4472"/>
        <w:gridCol w:w="722"/>
        <w:gridCol w:w="1992"/>
        <w:gridCol w:w="3273"/>
      </w:tblGrid>
      <w:tr>
        <w:tblPrEx>
          <w:tblCellMar>
            <w:top w:w="55" w:type="dxa"/>
            <w:left w:w="55" w:type="dxa"/>
            <w:bottom w:w="55" w:type="dxa"/>
            <w:right w:w="55" w:type="dxa"/>
          </w:tblCellMar>
        </w:tblPrEx>
        <w:trPr>
          <w:trHeight w:val="333" w:hRule="atLeast"/>
        </w:trPr>
        <w:tc>
          <w:tcPr>
            <w:tcW w:w="10459" w:type="dxa"/>
            <w:gridSpan w:val="4"/>
            <w:vAlign w:val="center"/>
          </w:tcPr>
          <w:p>
            <w:pPr>
              <w:pStyle w:val="22"/>
              <w:widowControl w:val="0"/>
              <w:bidi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政府采购支出决算表</w:t>
            </w:r>
          </w:p>
        </w:tc>
      </w:tr>
      <w:tr>
        <w:tblPrEx>
          <w:tblCellMar>
            <w:top w:w="55" w:type="dxa"/>
            <w:left w:w="55" w:type="dxa"/>
            <w:bottom w:w="55" w:type="dxa"/>
            <w:right w:w="55" w:type="dxa"/>
          </w:tblCellMar>
        </w:tblPrEx>
        <w:trPr>
          <w:trHeight w:val="333" w:hRule="atLeast"/>
        </w:trPr>
        <w:tc>
          <w:tcPr>
            <w:tcW w:w="4472" w:type="dxa"/>
          </w:tcPr>
          <w:p>
            <w:pPr>
              <w:pStyle w:val="22"/>
              <w:widowControl w:val="0"/>
              <w:bidi w:val="0"/>
              <w:rPr>
                <w:rFonts w:hint="eastAsia" w:ascii="仿宋" w:hAnsi="仿宋" w:eastAsia="仿宋" w:cs="仿宋"/>
              </w:rPr>
            </w:pPr>
          </w:p>
        </w:tc>
        <w:tc>
          <w:tcPr>
            <w:tcW w:w="722" w:type="dxa"/>
          </w:tcPr>
          <w:p>
            <w:pPr>
              <w:pStyle w:val="22"/>
              <w:widowControl w:val="0"/>
              <w:rPr>
                <w:rFonts w:hint="eastAsia" w:ascii="仿宋" w:hAnsi="仿宋" w:eastAsia="仿宋" w:cs="仿宋"/>
              </w:rPr>
            </w:pPr>
          </w:p>
        </w:tc>
        <w:tc>
          <w:tcPr>
            <w:tcW w:w="1992" w:type="dxa"/>
          </w:tcPr>
          <w:p>
            <w:pPr>
              <w:pStyle w:val="22"/>
              <w:widowControl w:val="0"/>
              <w:rPr>
                <w:rFonts w:hint="eastAsia" w:ascii="仿宋" w:hAnsi="仿宋" w:eastAsia="仿宋" w:cs="仿宋"/>
              </w:rPr>
            </w:pPr>
          </w:p>
        </w:tc>
        <w:tc>
          <w:tcPr>
            <w:tcW w:w="3273" w:type="dxa"/>
            <w:vAlign w:val="center"/>
          </w:tcPr>
          <w:p>
            <w:pPr>
              <w:pStyle w:val="22"/>
              <w:widowControl w:val="0"/>
              <w:jc w:val="right"/>
              <w:rPr>
                <w:rFonts w:hint="eastAsia" w:ascii="仿宋" w:hAnsi="仿宋" w:eastAsia="仿宋" w:cs="仿宋"/>
              </w:rPr>
            </w:pPr>
            <w:r>
              <w:rPr>
                <w:rFonts w:hint="eastAsia" w:ascii="仿宋" w:hAnsi="仿宋" w:eastAsia="仿宋" w:cs="仿宋"/>
              </w:rPr>
              <w:t>公开1</w:t>
            </w:r>
            <w:r>
              <w:rPr>
                <w:rFonts w:hint="eastAsia" w:ascii="仿宋" w:hAnsi="仿宋" w:eastAsia="仿宋" w:cs="仿宋"/>
                <w:lang w:val="en-US" w:eastAsia="zh-CN"/>
              </w:rPr>
              <w:t>3</w:t>
            </w:r>
            <w:r>
              <w:rPr>
                <w:rFonts w:hint="eastAsia" w:ascii="仿宋" w:hAnsi="仿宋" w:eastAsia="仿宋" w:cs="仿宋"/>
              </w:rPr>
              <w:t>表</w:t>
            </w:r>
          </w:p>
        </w:tc>
      </w:tr>
      <w:tr>
        <w:tblPrEx>
          <w:tblCellMar>
            <w:top w:w="55" w:type="dxa"/>
            <w:left w:w="55" w:type="dxa"/>
            <w:bottom w:w="55" w:type="dxa"/>
            <w:right w:w="55" w:type="dxa"/>
          </w:tblCellMar>
        </w:tblPrEx>
        <w:trPr>
          <w:trHeight w:val="90" w:hRule="atLeast"/>
        </w:trPr>
        <w:tc>
          <w:tcPr>
            <w:tcW w:w="7186" w:type="dxa"/>
            <w:gridSpan w:val="3"/>
          </w:tcPr>
          <w:p>
            <w:pPr>
              <w:pStyle w:val="22"/>
              <w:widowControl w:val="0"/>
              <w:bidi w:val="0"/>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江苏省看守所</w:t>
            </w:r>
          </w:p>
        </w:tc>
        <w:tc>
          <w:tcPr>
            <w:tcW w:w="3273" w:type="dxa"/>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CellMar>
            <w:top w:w="55" w:type="dxa"/>
            <w:left w:w="55" w:type="dxa"/>
            <w:bottom w:w="55" w:type="dxa"/>
            <w:right w:w="55" w:type="dxa"/>
          </w:tblCellMar>
        </w:tblPrEx>
        <w:trPr>
          <w:trHeight w:val="244" w:hRule="atLeast"/>
        </w:trPr>
        <w:tc>
          <w:tcPr>
            <w:tcW w:w="4472" w:type="dxa"/>
            <w:tcBorders>
              <w:top w:val="single" w:color="000000" w:sz="4" w:space="0"/>
              <w:left w:val="single" w:color="000000" w:sz="4" w:space="0"/>
              <w:bottom w:val="single" w:color="000000" w:sz="4" w:space="0"/>
            </w:tcBorders>
            <w:vAlign w:val="center"/>
          </w:tcPr>
          <w:p>
            <w:pPr>
              <w:pStyle w:val="22"/>
              <w:widowControl w:val="0"/>
              <w:bidi w:val="0"/>
              <w:jc w:val="center"/>
              <w:rPr>
                <w:rFonts w:hint="eastAsia" w:ascii="仿宋" w:hAnsi="仿宋" w:eastAsia="仿宋" w:cs="仿宋"/>
                <w:lang w:val="en-US" w:eastAsia="zh-CN"/>
              </w:rPr>
            </w:pPr>
            <w:r>
              <w:rPr>
                <w:rFonts w:ascii="仿宋" w:hAnsi="仿宋" w:eastAsia="仿宋" w:cs="仿宋"/>
              </w:rPr>
              <w:t>项目</w:t>
            </w:r>
          </w:p>
        </w:tc>
        <w:tc>
          <w:tcPr>
            <w:tcW w:w="598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一、政府采购支出合计</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219.34</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（一）政府采购货物支出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18.19</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（二）政府采购工程支出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62.08</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（三）政府采购服务支出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139.07</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二、政府采购授予中小企业合同金额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其中：授予小微企业合同金额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bidi w:val="0"/>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rPr>
        <w:t>注：</w:t>
      </w:r>
      <w:r>
        <w:rPr>
          <w:rFonts w:hint="eastAsia" w:ascii="仿宋" w:hAnsi="仿宋" w:eastAsia="仿宋" w:cs="仿宋"/>
          <w:b w:val="0"/>
          <w:bCs w:val="0"/>
          <w:sz w:val="22"/>
          <w:szCs w:val="22"/>
          <w:lang w:val="en-US" w:eastAsia="zh-CN"/>
        </w:rPr>
        <w:t>政府采购支出信息为单位纳入部门预算范围的各项政府采购支出情况。本表金额单位转换时可能存在尾数误差</w:t>
      </w:r>
      <w:r>
        <w:rPr>
          <w:rFonts w:hint="eastAsia" w:ascii="仿宋" w:hAnsi="仿宋" w:eastAsia="仿宋" w:cs="仿宋"/>
          <w:b w:val="0"/>
          <w:bCs w:val="0"/>
          <w:sz w:val="22"/>
          <w:szCs w:val="22"/>
        </w:rPr>
        <w:t>。</w:t>
      </w:r>
    </w:p>
    <w:p>
      <w:pPr>
        <w:numPr>
          <w:ilvl w:val="0"/>
          <w:numId w:val="0"/>
        </w:numPr>
        <w:bidi w:val="0"/>
        <w:ind w:left="440" w:leftChars="200" w:firstLine="0" w:firstLineChars="0"/>
        <w:jc w:val="both"/>
        <w:rPr>
          <w:rFonts w:hint="eastAsia" w:ascii="仿宋" w:hAnsi="仿宋" w:eastAsia="仿宋" w:cs="仿宋"/>
          <w:b w:val="0"/>
          <w:bCs w:val="0"/>
          <w:sz w:val="22"/>
          <w:szCs w:val="22"/>
        </w:rPr>
        <w:sectPr>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5"/>
        <w:tabs>
          <w:tab w:val="left" w:pos="3077"/>
        </w:tabs>
        <w:spacing w:line="616" w:lineRule="exact"/>
        <w:jc w:val="center"/>
        <w:outlineLvl w:val="0"/>
        <w:rPr>
          <w:rFonts w:hint="eastAsia" w:ascii="宋体" w:hAnsi="宋体" w:eastAsia="宋体" w:cs="宋体"/>
          <w:b/>
          <w:bCs/>
          <w:color w:val="000000"/>
          <w:kern w:val="0"/>
          <w:sz w:val="36"/>
          <w:szCs w:val="36"/>
          <w:lang w:val="zh-CN" w:eastAsia="ar-SA" w:bidi="zh-CN"/>
        </w:rPr>
      </w:pPr>
      <w:r>
        <w:rPr>
          <w:rFonts w:hint="eastAsia" w:ascii="宋体" w:hAnsi="宋体" w:eastAsia="宋体" w:cs="宋体"/>
          <w:b/>
          <w:bCs/>
          <w:color w:val="000000"/>
          <w:kern w:val="0"/>
          <w:sz w:val="36"/>
          <w:szCs w:val="36"/>
          <w:lang w:val="zh-CN" w:eastAsia="ar-SA" w:bidi="zh-CN"/>
        </w:rPr>
        <w:t>第三部分</w:t>
      </w:r>
      <w:r>
        <w:rPr>
          <w:rFonts w:hint="eastAsia" w:ascii="宋体" w:hAnsi="宋体" w:eastAsia="宋体" w:cs="宋体"/>
          <w:b/>
          <w:bCs/>
          <w:color w:val="000000"/>
          <w:kern w:val="0"/>
          <w:sz w:val="36"/>
          <w:szCs w:val="36"/>
          <w:lang w:val="en-US" w:eastAsia="zh-CN" w:bidi="zh-CN"/>
        </w:rPr>
        <w:t xml:space="preserve"> </w:t>
      </w:r>
      <w:r>
        <w:rPr>
          <w:rFonts w:hint="eastAsia" w:ascii="宋体" w:hAnsi="宋体" w:eastAsia="宋体" w:cs="宋体"/>
          <w:b/>
          <w:bCs/>
          <w:color w:val="000000"/>
          <w:kern w:val="0"/>
          <w:sz w:val="36"/>
          <w:szCs w:val="36"/>
          <w:lang w:val="zh-CN" w:eastAsia="zh-CN" w:bidi="zh-CN"/>
        </w:rPr>
        <w:t>2022</w:t>
      </w:r>
      <w:r>
        <w:rPr>
          <w:rFonts w:hint="eastAsia" w:ascii="宋体" w:hAnsi="宋体" w:eastAsia="宋体" w:cs="宋体"/>
          <w:b/>
          <w:bCs/>
          <w:color w:val="000000"/>
          <w:kern w:val="0"/>
          <w:sz w:val="36"/>
          <w:szCs w:val="36"/>
          <w:lang w:val="zh-CN" w:eastAsia="ar-SA" w:bidi="zh-CN"/>
        </w:rPr>
        <w:t>年度</w:t>
      </w:r>
      <w:r>
        <w:rPr>
          <w:rFonts w:ascii="宋体" w:hAnsi="宋体" w:eastAsia="宋体" w:cs="宋体"/>
          <w:b/>
          <w:color w:val="000000"/>
          <w:sz w:val="36"/>
        </w:rPr>
        <w:t>单位决算情况说明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2022年度收入、支出决算总计2,945.36万元。与上年相比，收、支总计各增加332.51万元，增长12.73%。其中：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（一）收入决算总计2,945.36万元。包括：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1.本年收入决算合计2,940.16万元。与上年相比，增加423.1万元，增长16.81%，变动原因：本年增加在职民警17人，人员经费相应增加。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2.使用非财政拨款结余0万元。与上年决算数相同。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3.年初结转和结余5.2万元。与上年相比，减少90.59万元，减少94.57%，变动原因：支付上年监所信息化及基础设施改造项目项目合同尾款，项目经费基本使用完。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（二）支出决算总计2,945.36万元。包括：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1.本年支出决算合计2,886.91万元。与上年相比，增加279.26万元，增长10.71%，变动原因：在职人员增加17人，相应人员经费同步增加。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2.结余分配0万元。与上年决算数相同。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3.年末结转和结余58.45万元。结转和结余事项：项目支出结转。与上年相比，增加53.25万元，增长1,024.04%，变动原因：主要是监所封闭管理，部分工程无法按期施工，部分工程款不能在年度内支出。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二、收入决算情况说明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年收入决算合计2,940.16万元，其中：财政拨款收入2,940.16万元，占100%；上级补助收入0万元，占0%；财政专户管理教育收费0万元，占0%；事业收入（不含专户管理教育收费）0万元，占0%；经营收入0万元，占0%；附属单位上缴收入0万元，占0%；其他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0"/>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三、支出决算情况说明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2022年度本年支出决算合计2,886.91万元，其中：基本支出2,097.21万元，占72.65%；项目支出789.7万元，占27.35%；上缴上级支出0万元，占0%；经营支出0万元，占0%；对附属单位补助支出0万元，占0%。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1"/>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四、财政拨款收入支出决算总体情况说明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2022年度财政拨款收入、支出决算总计2,945.36万元。与上年相比，收、支总计各增加332.51万元，增长12.73%，变动原因：人员变动较多，较上年度增加17人，2022年度人员经费财政拨款和决算支出相应增加。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五、财政拨款支出决算情况说明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财政拨款发生的支出，也包括使用上年度财政拨款结转资金发生的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2022年度财政拨款支出决算2,886.91万元，占本年支出合计的100%。与2022年度财政拨款支出年初预算2,414.99万元相比，完成年初预算的119.54%。其中：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（一）公共安全支出（类）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1.公安（款）行政运行（项）。年初预算1,085.66万元，支出决算1,593.38万元，完成年初预算的146.77%。决算数与年初预算数的差异原因：年内增加在职人员17人，人员经费相应增加。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安（款）执法办案（项）。年初预算0万元，支出决算92.18万元，（年初预算数为0万元，无法计算完成比率）决算数与年初预算数的差异原因：2022年度年中调减预算经费，看守所经费缺口较大，年底财政追加执法办案费100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3.公安（款）其他公安支出（项）。年初预算825.5万元，支出决算697.52万元，完成年初预算的84.5%。决算数与年初预算数的差异原因：监管场所封闭管理，部分项目无法按期施工，工程款不能在年度内支付。</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1.行政事业单位养老支出（款）机关事业单位基本养老保险缴费支出（项）。年初预算71.94万元，支出决算71.94万元，完成年初预算的100%。决算数与年初预算数相同。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2.行政事业单位养老支出（款）机关事业单位职业年金缴费支出（项）。年初预算35.97万元，支出决算35.97万元，完成年初预算的100%。决算数与年初预算数相同。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（三）住房保障支出（类）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1.住房改革支出（款）住房公积金（项）。年初预算125.13万元，支出决算125.13万元，完成年初预算的100%。决算数与年初预算数相同。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2.住房改革支出（款）提租补贴（项）。年初预算270.79万元，支出决算270.79万元，完成年初预算的100%。决算数与年初预算数相同。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六、财政拨款基本支出决算情况说明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2022年度财政拨款基本支出决算2,097.21万元，其中：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（一）人员经费1,819.07万元。</w:t>
      </w:r>
      <w:r>
        <w:rPr>
          <w:rFonts w:ascii="仿宋" w:hAnsi="仿宋" w:eastAsia="仿宋" w:cs="仿宋"/>
        </w:rPr>
        <w:t>主要包括：基本工资、津贴补贴、奖金、机关事业单位基本养老保险缴费、职业年金缴费、住房公积金、其他工资福利支出、其他对个人和家庭的补助。</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（二）公用经费278.14万元。</w:t>
      </w:r>
      <w:r>
        <w:rPr>
          <w:rFonts w:ascii="仿宋" w:hAnsi="仿宋" w:eastAsia="仿宋" w:cs="仿宋"/>
        </w:rPr>
        <w:t>主要包括：办公费、印刷费、水费、电费、邮电费、差旅费、维修（护）费、公务接待费、工会经费、福利费、公务用车运行维护费、其他交通费用、其他商品和服务支出。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七、一般公共预算支出决算情况说明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2022年度一般公共预算财政拨款支出决算2,886.91万元。与上年相比，增加279.26万元，增长10.71%，变动原因：在职人员增加17人，人员经费相应增加。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八、一般公共预算基本支出决算情况说明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2022年度一般公共预算财政拨款基本支出决算2,097.21万元，其中：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（一）人员经费1,819.07万元。</w:t>
      </w:r>
      <w:r>
        <w:rPr>
          <w:rFonts w:ascii="仿宋" w:hAnsi="仿宋" w:eastAsia="仿宋" w:cs="仿宋"/>
        </w:rPr>
        <w:t>主要包括：基本工资、津贴补贴、奖金、机关事业单位基本养老保险缴费、职业年金缴费、住房公积金、其他工资福利支出、其他对个人和家庭的补助。</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（二）公用经费278.14万元。</w:t>
      </w:r>
      <w:r>
        <w:rPr>
          <w:rFonts w:ascii="仿宋" w:hAnsi="仿宋" w:eastAsia="仿宋" w:cs="仿宋"/>
        </w:rPr>
        <w:t>主要包括：办公费、印刷费、水费、电费、邮电费、差旅费、维修（护）费、公务接待费、工会经费、福利费、公务用车运行维护费、其他交通费用、其他商品和服务支出。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九、财政拨款“三公”经费、会议费和培训费支出情况说明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（一）财政拨款“三公”经费支出总体情况说明。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三公”经费支出决算10.14万元（其中：一般公共预算支出10.14万元；政府性基金预算支出0万元；国有资本经营预算支出0万元）。与上年相比，减少2.52万元，变动原因：本年度公务车辆没有发生大修。其中，因公出国（境）费支出0万元，占“三公”经费的0%；公务用车购置及运行维护费支出8.83万元，占“三公”经费的87.08%；公务接待费支出1.31万元，占“三公”经费的12.92%。</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（二）财政拨款“三公”经费支出具体情况说明。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支出预算0万元（其中：一般公共预算支出0万元；政府性基金预算支出0万元；国有资本经营预算支出0万元），支出决算0万元（其中：一般公共预算支出0万元；政府性基金预算支出0万元；国有资本经营预算支出0万元），完成预算的100%，决算数与预算数相同。全年使用财政拨款涉及的出国（境）团组0个，累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预算26.4万元（其中：一般公共预算支出26.4万元；政府性基金预算支出0万元；国有资本经营预算支出0万元），支出决算8.83万元（其中：一般公共预算支出8.83万元；政府性基金预算支出0万元；国有资本经营预算支出0万元），完成预算的33.45%，决算数与预算数的差异原因：监所封闭管理，公务车辆使用率低相应费用降低，且本年度公务车辆没有发生大修。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（1）公务用车购置支出决算0万元。本年度使用财政拨款购置公务用车0辆。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运行维护费支出决算8.83万元。公务用车运行维护费主要用于按规定保留的公务用车的燃料费、维修费、过桥过路费、保险费、安全奖励费用等支出。截至2022年12月31日，使用财政拨款开支的公务用车保有量为6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支出预算2.28万元（其中：一般公共预算支出2.28万元；政府性基金预算支出0万元；国有资本经营预算支出0万元），支出决算1.31万元（其中：一般公共预算支出1.31万元；政府性基金预算支出0万元；国有资本经营预算支出0万元），完成预算的57.46%，决算数与预算数的差异原因：监所封闭管理，外单位来所交流学习次数及人数减少。其中：国内公务接待支出1.31万元，接待12批次，67人次，开支内容：省内监管同行来所交流学习等活动；国（境）外公务接待支出0万元，接待0批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（三）财政拨款会议费支出决算情况说明。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会议费支出预算0万元（其中：一般公共预算支出0万元；政府性基金预算支出0万元；国有资本经营预算支出0万元），支出决算0万元（其中：一般公共预算支出0万元；政府性基金预算支出0万元；国有资本经营预算支出0万元），完成预算的100%，决算数与预算数相同。2022年度全年召开会议0个，参加会议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（四）财政拨款培训费支出决算情况说明。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培训费支出预算0万元（其中：一般公共预算支出0万元；政府性基金预算支出0万元；国有资本经营预算支出0万元），支出决算0万元（其中：一般公共预算支出0万元；政府性基金预算支出0万元；国有资本经营预算支出0万元），完成预算的100%，决算数与预算数相同。2022年度全年组织培训0个，组织培训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十、政府性基金预算财政拨款支出决算情况说明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2022年度政府性基金预算财政拨款支出决算0万元。与上年决算数相同。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十一、国有资本经营预算财政拨款支出决算情况说明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2022年度国有资本经营预算财政拨款支出决算0万元。与上年决算数相同。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十二、财政拨款机关运行经费支出决算情况说明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机关运行经费支出决算278.14万元（其中：一般公共预算支出278.14万元；政府性基金预算支出0万元；国有资本经营预算支出0万元）。与上年相比，减少44.71万元，减少13.85%，变动原因：省财政压缩年度经费，省看守所严格预算管理，规范预算执行，压减不必要经费开支。</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十三、政府采购支出决算情况说明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政府采购支出总额219.34万元，其中：政府采购货物支出18.19万元、政府采购工程支出62.08万元、政府采购服务支出139.07万元。政府采购授予中小企业合同金额0万元，占政府采购支出总额的0%，其中：授予小微企业合同金额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十四、国有资产占用情况说明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本单位共有车辆6辆，其中，一般公务用车0辆、执法执勤用车6辆、特种专业技术用车0辆、业务用车0辆、其他用车0辆等。单价100万元（含）以上的设备0台（不含车辆）。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十五、预算绩效评价工作开展情况</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2022年度，本单位共0个项目开展了财政绩效评价，涉及财政性资金合计0万元；本单位未开展单位整体支出财政绩效评价，涉及财政性资金0万元。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2022年度，本单位共5个项目开展了绩效自评价，涉及财政性资金合计789.7万元；本单位共开展1项单位整体支出绩效自评价，涉及财政性资金合计2,886.91万元。</w:t>
      </w:r>
    </w:p>
    <w:p>
      <w:pPr>
        <w:pStyle w:val="5"/>
        <w:tabs>
          <w:tab w:val="left" w:pos="3077"/>
        </w:tabs>
        <w:spacing w:line="616" w:lineRule="exact"/>
        <w:jc w:val="center"/>
        <w:outlineLvl w:val="0"/>
        <w:rPr>
          <w:rFonts w:hint="eastAsia" w:ascii="宋体" w:hAnsi="宋体" w:eastAsia="宋体" w:cs="宋体"/>
          <w:b/>
          <w:bCs/>
          <w:sz w:val="36"/>
          <w:szCs w:val="36"/>
        </w:rPr>
      </w:pPr>
      <w:r>
        <w:rPr>
          <w:rFonts w:hint="eastAsia" w:ascii="宋体" w:hAnsi="宋体" w:eastAsia="宋体" w:cs="宋体"/>
          <w:b/>
          <w:bCs/>
          <w:sz w:val="36"/>
          <w:szCs w:val="36"/>
        </w:rPr>
        <w:t>第四部分 名词</w:t>
      </w:r>
      <w:r>
        <w:rPr>
          <w:rFonts w:hint="eastAsia" w:ascii="宋体" w:hAnsi="宋体" w:eastAsia="宋体" w:cs="宋体"/>
          <w:b/>
          <w:bCs/>
          <w:color w:val="000000"/>
          <w:kern w:val="0"/>
          <w:sz w:val="36"/>
          <w:szCs w:val="36"/>
          <w:lang w:val="zh-CN" w:eastAsia="ar-SA" w:bidi="zh-CN"/>
        </w:rPr>
        <w:t>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指单位从同级财政部门取得的各类财政拨款，包括一般公共预算财政拨款、政府性基金预算财政拨款、国有资本经营预算财政拨款。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三、财政专户管理教育收费</w:t>
      </w:r>
      <w:r>
        <w:rPr>
          <w:rFonts w:ascii="仿宋" w:hAnsi="仿宋" w:eastAsia="仿宋" w:cs="仿宋"/>
          <w:b/>
        </w:rPr>
        <w:t>：</w:t>
      </w:r>
      <w:r>
        <w:rPr>
          <w:rFonts w:hint="eastAsia" w:ascii="仿宋" w:hAnsi="仿宋" w:eastAsia="仿宋" w:cs="仿宋"/>
        </w:rPr>
        <w:t>指缴入财政专户、实行专项管理的高中以上学费、住宿费、高校委托培养费、函大、电大、夜大及短训班培训费等教育收费。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四、事业收入</w:t>
      </w:r>
      <w:r>
        <w:rPr>
          <w:rFonts w:ascii="仿宋" w:hAnsi="仿宋" w:eastAsia="仿宋" w:cs="仿宋"/>
          <w:b/>
        </w:rPr>
        <w:t>：</w:t>
      </w:r>
      <w:r>
        <w:rPr>
          <w:rFonts w:hint="eastAsia" w:ascii="仿宋" w:hAnsi="仿宋" w:eastAsia="仿宋" w:cs="仿宋"/>
        </w:rPr>
        <w:t>指事业单位开展专业业务活动及其辅助活动取得的收入。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七、其他收入</w:t>
      </w:r>
      <w:r>
        <w:rPr>
          <w:rFonts w:ascii="仿宋" w:hAnsi="仿宋" w:eastAsia="仿宋" w:cs="仿宋"/>
          <w:b/>
        </w:rPr>
        <w:t>：</w:t>
      </w:r>
      <w:r>
        <w:rPr>
          <w:rFonts w:hint="eastAsia" w:ascii="仿宋" w:hAnsi="仿宋" w:eastAsia="仿宋" w:cs="仿宋"/>
        </w:rPr>
        <w:t>指单位取得的除上述“财政拨款收入”、 “上级补助收入”、“事业收入”、“经营收入”、“附属单位上缴收入”等以外的各项收入。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八、使用非财政拨款结余</w:t>
      </w:r>
      <w:r>
        <w:rPr>
          <w:rFonts w:ascii="仿宋" w:hAnsi="仿宋" w:eastAsia="仿宋" w:cs="仿宋"/>
          <w:b/>
        </w:rPr>
        <w:t>：</w:t>
      </w:r>
      <w:r>
        <w:rPr>
          <w:rFonts w:hint="eastAsia" w:ascii="仿宋" w:hAnsi="仿宋" w:eastAsia="仿宋" w:cs="仿宋"/>
        </w:rPr>
        <w:t>指事业单位按照预算管理要求使用非财政拨款结余（原事业基金）弥补当年收支差额的数额。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十、结余分配</w:t>
      </w:r>
      <w:r>
        <w:rPr>
          <w:rFonts w:ascii="仿宋" w:hAnsi="仿宋" w:eastAsia="仿宋" w:cs="仿宋"/>
          <w:b/>
        </w:rPr>
        <w:t>：</w:t>
      </w:r>
      <w:r>
        <w:rPr>
          <w:rFonts w:hint="eastAsia" w:ascii="仿宋" w:hAnsi="仿宋" w:eastAsia="仿宋" w:cs="仿宋"/>
        </w:rPr>
        <w:t>指事业单位按规定缴纳的所得税以及从非财政拨款结余中提取各类结余的情况。</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十一、年末结转和结余资金</w:t>
      </w:r>
      <w:r>
        <w:rPr>
          <w:rFonts w:ascii="仿宋" w:hAnsi="仿宋" w:eastAsia="仿宋" w:cs="仿宋"/>
          <w:b/>
        </w:rPr>
        <w:t>：</w:t>
      </w:r>
      <w:r>
        <w:rPr>
          <w:rFonts w:hint="eastAsia" w:ascii="仿宋" w:hAnsi="仿宋" w:eastAsia="仿宋" w:cs="仿宋"/>
        </w:rPr>
        <w:t>指单位结转下年的基本支出结转、项目支出结转和结余、经营结余。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十二、基本支出</w:t>
      </w:r>
      <w:r>
        <w:rPr>
          <w:rFonts w:ascii="仿宋" w:hAnsi="仿宋" w:eastAsia="仿宋" w:cs="仿宋"/>
          <w:b/>
        </w:rPr>
        <w:t>：</w:t>
      </w:r>
      <w:r>
        <w:rPr>
          <w:rFonts w:hint="eastAsia" w:ascii="仿宋" w:hAnsi="仿宋" w:eastAsia="仿宋" w:cs="仿宋"/>
        </w:rPr>
        <w:t>指为保障机构正常运转、完成日常工作任务所发生的支出，包括人员经费和公用经费。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十七、“三公”经费</w:t>
      </w:r>
      <w:r>
        <w:rPr>
          <w:rFonts w:ascii="仿宋" w:hAnsi="仿宋" w:eastAsia="仿宋" w:cs="仿宋"/>
          <w:b/>
        </w:rPr>
        <w:t>：</w:t>
      </w:r>
      <w:r>
        <w:rPr>
          <w:rFonts w:hint="eastAsia" w:ascii="仿宋" w:hAnsi="仿宋" w:eastAsia="仿宋" w:cs="仿宋"/>
        </w:rPr>
        <w:t>指部门用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十八、机关运行经费</w:t>
      </w:r>
      <w:r>
        <w:rPr>
          <w:rFonts w:ascii="仿宋" w:hAnsi="仿宋" w:eastAsia="仿宋" w:cs="仿宋"/>
          <w:b/>
        </w:rPr>
        <w:t>：</w:t>
      </w:r>
      <w:r>
        <w:rPr>
          <w:rFonts w:hint="eastAsia" w:ascii="仿宋" w:hAnsi="仿宋" w:eastAsia="仿宋" w:cs="仿宋"/>
        </w:rPr>
        <w:t>指行政单位（含参照公务员法管理的事业单位）使用财政拨款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十九、公共安全支出(类)公安(款)行政运行(项)</w:t>
      </w:r>
      <w:r>
        <w:rPr>
          <w:rFonts w:ascii="仿宋" w:hAnsi="仿宋" w:eastAsia="仿宋" w:cs="仿宋"/>
          <w:b/>
        </w:rPr>
        <w:t>：</w:t>
      </w:r>
      <w:r>
        <w:rPr>
          <w:rFonts w:hint="eastAsia" w:ascii="仿宋" w:hAnsi="仿宋" w:eastAsia="仿宋" w:cs="仿宋"/>
        </w:rPr>
        <w:t>反映行政单位（包括实行公务员管理的事业单位）的基本支出。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二十、公共安全支出(类)公安(款)执法办案(项)</w:t>
      </w:r>
      <w:r>
        <w:rPr>
          <w:rFonts w:ascii="仿宋" w:hAnsi="仿宋" w:eastAsia="仿宋" w:cs="仿宋"/>
          <w:b/>
        </w:rPr>
        <w:t>：</w:t>
      </w:r>
      <w:r>
        <w:rPr>
          <w:rFonts w:hint="eastAsia" w:ascii="仿宋" w:hAnsi="仿宋" w:eastAsia="仿宋" w:cs="仿宋"/>
        </w:rPr>
        <w:t>反映公安机关从事行政执法、刑事司法及侦查办案等相关活动的支出。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二十一、公共安全支出(类)公安(款)其他公安支出(项)</w:t>
      </w:r>
      <w:r>
        <w:rPr>
          <w:rFonts w:ascii="仿宋" w:hAnsi="仿宋" w:eastAsia="仿宋" w:cs="仿宋"/>
          <w:b/>
        </w:rPr>
        <w:t>：</w:t>
      </w:r>
      <w:r>
        <w:rPr>
          <w:rFonts w:hint="eastAsia" w:ascii="仿宋" w:hAnsi="仿宋" w:eastAsia="仿宋" w:cs="仿宋"/>
        </w:rPr>
        <w:t>反映除上述项目以外其他用于公安方面的支出。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二十二、社会保障和就业支出(类)行政事业单位养老支出(款)机关事业单位基本养老保险缴费支出(项)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二十三、社会保障和就业支出(类)行政事业单位养老支出(款)机关事业单位职业年金缴费支出(项)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二十四、住房保障支出(类)住房改革支出(款)住房公积金(项)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二十五、住房保障支出(类)住房改革支出(款)提租补贴(项)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sectPr>
      <w:pgSz w:w="11906" w:h="16838"/>
      <w:pgMar w:top="1440" w:right="1080" w:bottom="1440" w:left="1080" w:header="170" w:footer="280" w:gutter="0"/>
      <w:pgBorders>
        <w:top w:val="none" w:sz="0" w:space="0"/>
        <w:left w:val="none" w:sz="0" w:space="0"/>
        <w:bottom w:val="none" w:sz="0" w:space="0"/>
        <w:right w:val="none"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nQDDc8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PRSxbfLAQAAnQMAAA4AAAAAAAAAAQAgAAAAHgEAAGRycy9lMm9E&#10;b2MueG1sUEsFBgAAAAAGAAYAWQEAAFs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D5fXgHLAQAAnQMAAA4AAAAAAAAAAQAgAAAAHgEAAGRycy9lMm9E&#10;b2MueG1sUEsFBgAAAAAGAAYAWQEAAFs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MpyfbbLAQAAnQMAAA4AAAAAAAAAAQAgAAAAHgEAAGRycy9lMm9E&#10;b2MueG1sUEsFBgAAAAAGAAYAWQEAAFs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8"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ANBmKszAEAAJ0DAAAOAAAAAAAAAAEAIAAAAB4BAABkcnMvZTJv&#10;RG9jLnhtbFBLBQYAAAAABgAGAFkBAABc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MGsLQDLAQAAnAMAAA4AAAAAAAAAAQAgAAAAHgEAAGRycy9lMm9E&#10;b2MueG1sUEsFBgAAAAAGAAYAWQEAAFsFA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euFb6c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F36fm8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cKPXn8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E/N7nM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2f7gKs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hT4IByQEAAJ0DAAAOAAAAAAAAAAEAIAAAAB4BAABkcnMvZTJvRG9j&#10;LnhtbFBLBQYAAAAABgAGAFkBAABZ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OtCGbfLAQAAnQMAAA4AAAAAAAAAAQAgAAAAHgEAAGRycy9lMm9E&#10;b2MueG1sUEsFBgAAAAAGAAYAWQEAAFs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江苏省看守所</w:t>
    </w:r>
    <w:r>
      <w:t>2022年度单位决算公开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footnotePr>
    <w:footnote w:id="0"/>
    <w:footnote w:id="1"/>
  </w:foot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UwNWYwNGFmYzNiMTMwMzI4MzFhMzI2ZWRjOTFjMmMifQ=="/>
  </w:docVars>
  <w:rsids>
    <w:rsidRoot w:val="00000000"/>
    <w:rsid w:val="00064984"/>
    <w:rsid w:val="00071789"/>
    <w:rsid w:val="000C024B"/>
    <w:rsid w:val="000F12AB"/>
    <w:rsid w:val="001C31F9"/>
    <w:rsid w:val="002E63B1"/>
    <w:rsid w:val="00407CA7"/>
    <w:rsid w:val="00413AD8"/>
    <w:rsid w:val="004C0647"/>
    <w:rsid w:val="00671ED7"/>
    <w:rsid w:val="00672164"/>
    <w:rsid w:val="006732F1"/>
    <w:rsid w:val="007C0F2D"/>
    <w:rsid w:val="008322BB"/>
    <w:rsid w:val="00867423"/>
    <w:rsid w:val="008B5B05"/>
    <w:rsid w:val="009965EA"/>
    <w:rsid w:val="00A6752E"/>
    <w:rsid w:val="00B92181"/>
    <w:rsid w:val="00BD7F33"/>
    <w:rsid w:val="00C15920"/>
    <w:rsid w:val="00C82582"/>
    <w:rsid w:val="00FA3233"/>
    <w:rsid w:val="010F1E77"/>
    <w:rsid w:val="01536131"/>
    <w:rsid w:val="01657C13"/>
    <w:rsid w:val="01714809"/>
    <w:rsid w:val="017240DE"/>
    <w:rsid w:val="01875334"/>
    <w:rsid w:val="018E7014"/>
    <w:rsid w:val="019803DB"/>
    <w:rsid w:val="01C22655"/>
    <w:rsid w:val="01C61170"/>
    <w:rsid w:val="01D4677F"/>
    <w:rsid w:val="01F17DF5"/>
    <w:rsid w:val="01FA65AD"/>
    <w:rsid w:val="01FF1E15"/>
    <w:rsid w:val="02005B8D"/>
    <w:rsid w:val="021F4E94"/>
    <w:rsid w:val="023277C7"/>
    <w:rsid w:val="02377801"/>
    <w:rsid w:val="02420B21"/>
    <w:rsid w:val="02443CCC"/>
    <w:rsid w:val="0247556A"/>
    <w:rsid w:val="02624152"/>
    <w:rsid w:val="026604FF"/>
    <w:rsid w:val="027F398B"/>
    <w:rsid w:val="0284231A"/>
    <w:rsid w:val="02987B74"/>
    <w:rsid w:val="02A822D0"/>
    <w:rsid w:val="02AF69EA"/>
    <w:rsid w:val="02B14230"/>
    <w:rsid w:val="02C378BB"/>
    <w:rsid w:val="02C92423"/>
    <w:rsid w:val="02D43672"/>
    <w:rsid w:val="02DD471D"/>
    <w:rsid w:val="02E5431C"/>
    <w:rsid w:val="02E8449D"/>
    <w:rsid w:val="02F0175E"/>
    <w:rsid w:val="02F513AC"/>
    <w:rsid w:val="02FE6DAE"/>
    <w:rsid w:val="03005360"/>
    <w:rsid w:val="03060F81"/>
    <w:rsid w:val="03121471"/>
    <w:rsid w:val="033F3F8A"/>
    <w:rsid w:val="034C108A"/>
    <w:rsid w:val="03673847"/>
    <w:rsid w:val="03690F36"/>
    <w:rsid w:val="03793778"/>
    <w:rsid w:val="037E4FBC"/>
    <w:rsid w:val="03802AE2"/>
    <w:rsid w:val="039F7320"/>
    <w:rsid w:val="03F86EFB"/>
    <w:rsid w:val="04137DFA"/>
    <w:rsid w:val="04156348"/>
    <w:rsid w:val="04212517"/>
    <w:rsid w:val="04461F7D"/>
    <w:rsid w:val="044E689B"/>
    <w:rsid w:val="0458580D"/>
    <w:rsid w:val="045E5FB7"/>
    <w:rsid w:val="04820ADC"/>
    <w:rsid w:val="048408D1"/>
    <w:rsid w:val="049256F0"/>
    <w:rsid w:val="0495610D"/>
    <w:rsid w:val="04C730A4"/>
    <w:rsid w:val="04DA4474"/>
    <w:rsid w:val="04DF580C"/>
    <w:rsid w:val="04E946A2"/>
    <w:rsid w:val="04EA46EB"/>
    <w:rsid w:val="05185546"/>
    <w:rsid w:val="052126A9"/>
    <w:rsid w:val="05247FC3"/>
    <w:rsid w:val="05346113"/>
    <w:rsid w:val="05423E9C"/>
    <w:rsid w:val="05600A24"/>
    <w:rsid w:val="05656433"/>
    <w:rsid w:val="05685F23"/>
    <w:rsid w:val="056A1C9B"/>
    <w:rsid w:val="057525F6"/>
    <w:rsid w:val="05843580"/>
    <w:rsid w:val="05856AD5"/>
    <w:rsid w:val="058C526F"/>
    <w:rsid w:val="05AB4AE4"/>
    <w:rsid w:val="05AB7BBE"/>
    <w:rsid w:val="05BD2716"/>
    <w:rsid w:val="05BE6B06"/>
    <w:rsid w:val="05C432C0"/>
    <w:rsid w:val="05C73A91"/>
    <w:rsid w:val="05DB04A3"/>
    <w:rsid w:val="05DB339C"/>
    <w:rsid w:val="05E80F9E"/>
    <w:rsid w:val="05F04613"/>
    <w:rsid w:val="05FE3016"/>
    <w:rsid w:val="06006806"/>
    <w:rsid w:val="060D1C4C"/>
    <w:rsid w:val="061C50DF"/>
    <w:rsid w:val="062B491C"/>
    <w:rsid w:val="06417385"/>
    <w:rsid w:val="06423C78"/>
    <w:rsid w:val="064A6451"/>
    <w:rsid w:val="064C13A1"/>
    <w:rsid w:val="06542957"/>
    <w:rsid w:val="0681129C"/>
    <w:rsid w:val="06824DC3"/>
    <w:rsid w:val="0695552F"/>
    <w:rsid w:val="069B5E85"/>
    <w:rsid w:val="06C87B62"/>
    <w:rsid w:val="06E710CA"/>
    <w:rsid w:val="06EB2968"/>
    <w:rsid w:val="06F23CF7"/>
    <w:rsid w:val="07293490"/>
    <w:rsid w:val="072A453E"/>
    <w:rsid w:val="073A470E"/>
    <w:rsid w:val="07520D7A"/>
    <w:rsid w:val="075575FE"/>
    <w:rsid w:val="07580A5A"/>
    <w:rsid w:val="07656047"/>
    <w:rsid w:val="077C711D"/>
    <w:rsid w:val="078F7797"/>
    <w:rsid w:val="079361A1"/>
    <w:rsid w:val="07AE39F0"/>
    <w:rsid w:val="07BE007D"/>
    <w:rsid w:val="07C509DD"/>
    <w:rsid w:val="080041F1"/>
    <w:rsid w:val="08031AA7"/>
    <w:rsid w:val="0806186F"/>
    <w:rsid w:val="080C528C"/>
    <w:rsid w:val="080F6B2A"/>
    <w:rsid w:val="08214CF0"/>
    <w:rsid w:val="083B723A"/>
    <w:rsid w:val="084A5DB4"/>
    <w:rsid w:val="08582C83"/>
    <w:rsid w:val="085D1644"/>
    <w:rsid w:val="0860441B"/>
    <w:rsid w:val="08694955"/>
    <w:rsid w:val="08913758"/>
    <w:rsid w:val="08A333FC"/>
    <w:rsid w:val="08D342E7"/>
    <w:rsid w:val="08E003AE"/>
    <w:rsid w:val="08E93645"/>
    <w:rsid w:val="08FC0605"/>
    <w:rsid w:val="09165D85"/>
    <w:rsid w:val="091D32CD"/>
    <w:rsid w:val="0947142F"/>
    <w:rsid w:val="095F763D"/>
    <w:rsid w:val="096204B4"/>
    <w:rsid w:val="0969226A"/>
    <w:rsid w:val="096B0C35"/>
    <w:rsid w:val="09891979"/>
    <w:rsid w:val="098926B4"/>
    <w:rsid w:val="09896468"/>
    <w:rsid w:val="09931095"/>
    <w:rsid w:val="09984875"/>
    <w:rsid w:val="09B3067A"/>
    <w:rsid w:val="09E82283"/>
    <w:rsid w:val="09EB3C7D"/>
    <w:rsid w:val="09F00295"/>
    <w:rsid w:val="09F032D5"/>
    <w:rsid w:val="09F45579"/>
    <w:rsid w:val="09F6640F"/>
    <w:rsid w:val="09FE0C6E"/>
    <w:rsid w:val="0A112BB9"/>
    <w:rsid w:val="0A1D215F"/>
    <w:rsid w:val="0A2639C8"/>
    <w:rsid w:val="0A2D2344"/>
    <w:rsid w:val="0A3F45FE"/>
    <w:rsid w:val="0A434869"/>
    <w:rsid w:val="0A516F86"/>
    <w:rsid w:val="0A6273E5"/>
    <w:rsid w:val="0A636CB9"/>
    <w:rsid w:val="0A7F08D2"/>
    <w:rsid w:val="0A964BFD"/>
    <w:rsid w:val="0A9D666F"/>
    <w:rsid w:val="0AAC5ED9"/>
    <w:rsid w:val="0ADA70C2"/>
    <w:rsid w:val="0AFD463B"/>
    <w:rsid w:val="0B05614C"/>
    <w:rsid w:val="0B134992"/>
    <w:rsid w:val="0B160131"/>
    <w:rsid w:val="0B2B4189"/>
    <w:rsid w:val="0B392278"/>
    <w:rsid w:val="0B675A67"/>
    <w:rsid w:val="0B6B4077"/>
    <w:rsid w:val="0B752A0F"/>
    <w:rsid w:val="0B813D25"/>
    <w:rsid w:val="0B89728A"/>
    <w:rsid w:val="0B9E71AD"/>
    <w:rsid w:val="0BAC43D1"/>
    <w:rsid w:val="0BB91287"/>
    <w:rsid w:val="0BBA4FFF"/>
    <w:rsid w:val="0BCD6A8D"/>
    <w:rsid w:val="0BCF6DAD"/>
    <w:rsid w:val="0BD87EAC"/>
    <w:rsid w:val="0BE46B89"/>
    <w:rsid w:val="0BF41C52"/>
    <w:rsid w:val="0C047996"/>
    <w:rsid w:val="0C0E112C"/>
    <w:rsid w:val="0C1337D7"/>
    <w:rsid w:val="0C2215AA"/>
    <w:rsid w:val="0C64719F"/>
    <w:rsid w:val="0C6536DB"/>
    <w:rsid w:val="0C797590"/>
    <w:rsid w:val="0C9B273A"/>
    <w:rsid w:val="0CA00951"/>
    <w:rsid w:val="0CBD0903"/>
    <w:rsid w:val="0CC51EAD"/>
    <w:rsid w:val="0CD230A9"/>
    <w:rsid w:val="0CD65166"/>
    <w:rsid w:val="0CDB2BBC"/>
    <w:rsid w:val="0CE84C0B"/>
    <w:rsid w:val="0CEF2113"/>
    <w:rsid w:val="0CEF2581"/>
    <w:rsid w:val="0D05225F"/>
    <w:rsid w:val="0D1424ED"/>
    <w:rsid w:val="0D261419"/>
    <w:rsid w:val="0D42705A"/>
    <w:rsid w:val="0D545049"/>
    <w:rsid w:val="0D617032"/>
    <w:rsid w:val="0D673696"/>
    <w:rsid w:val="0D6C5D61"/>
    <w:rsid w:val="0D760FDB"/>
    <w:rsid w:val="0D766D04"/>
    <w:rsid w:val="0D7F345D"/>
    <w:rsid w:val="0D991370"/>
    <w:rsid w:val="0DAC0D2B"/>
    <w:rsid w:val="0DAD6BC9"/>
    <w:rsid w:val="0DBA3094"/>
    <w:rsid w:val="0DD06A00"/>
    <w:rsid w:val="0DDF0D4D"/>
    <w:rsid w:val="0DFC3CDF"/>
    <w:rsid w:val="0DFD772C"/>
    <w:rsid w:val="0DFF5826"/>
    <w:rsid w:val="0E0A51F9"/>
    <w:rsid w:val="0E1F1C4F"/>
    <w:rsid w:val="0E2252C7"/>
    <w:rsid w:val="0E27451D"/>
    <w:rsid w:val="0E4806AD"/>
    <w:rsid w:val="0E52151F"/>
    <w:rsid w:val="0E5E7568"/>
    <w:rsid w:val="0E601E8E"/>
    <w:rsid w:val="0E662847"/>
    <w:rsid w:val="0E854C8B"/>
    <w:rsid w:val="0E8D69FB"/>
    <w:rsid w:val="0E94230E"/>
    <w:rsid w:val="0E946F22"/>
    <w:rsid w:val="0EA37FCC"/>
    <w:rsid w:val="0EB75826"/>
    <w:rsid w:val="0EE7610B"/>
    <w:rsid w:val="0EF65551"/>
    <w:rsid w:val="0EFE25F0"/>
    <w:rsid w:val="0F111837"/>
    <w:rsid w:val="0F135152"/>
    <w:rsid w:val="0F256D3C"/>
    <w:rsid w:val="0F711E78"/>
    <w:rsid w:val="0F807B33"/>
    <w:rsid w:val="0F8C6CB2"/>
    <w:rsid w:val="0F8F17E6"/>
    <w:rsid w:val="0FB029A1"/>
    <w:rsid w:val="0FB02B15"/>
    <w:rsid w:val="0FB21F29"/>
    <w:rsid w:val="0FB47D1E"/>
    <w:rsid w:val="0FCE598D"/>
    <w:rsid w:val="0FD77F2D"/>
    <w:rsid w:val="0FD849C7"/>
    <w:rsid w:val="0FE03B0E"/>
    <w:rsid w:val="0FE663C2"/>
    <w:rsid w:val="0FEF37CA"/>
    <w:rsid w:val="100928FC"/>
    <w:rsid w:val="10093E5F"/>
    <w:rsid w:val="101A62D4"/>
    <w:rsid w:val="10260EB5"/>
    <w:rsid w:val="1027035F"/>
    <w:rsid w:val="102A2753"/>
    <w:rsid w:val="102A69EF"/>
    <w:rsid w:val="102C3484"/>
    <w:rsid w:val="103D6600"/>
    <w:rsid w:val="10463305"/>
    <w:rsid w:val="106204CB"/>
    <w:rsid w:val="1068327B"/>
    <w:rsid w:val="1069097D"/>
    <w:rsid w:val="10703EDE"/>
    <w:rsid w:val="108C6F6A"/>
    <w:rsid w:val="10A90FB7"/>
    <w:rsid w:val="10B95885"/>
    <w:rsid w:val="10F845FF"/>
    <w:rsid w:val="11092167"/>
    <w:rsid w:val="110C3973"/>
    <w:rsid w:val="110D47B0"/>
    <w:rsid w:val="11110225"/>
    <w:rsid w:val="111930E1"/>
    <w:rsid w:val="111E1B8C"/>
    <w:rsid w:val="11252430"/>
    <w:rsid w:val="112E0021"/>
    <w:rsid w:val="1143676B"/>
    <w:rsid w:val="11471791"/>
    <w:rsid w:val="117C1012"/>
    <w:rsid w:val="11872569"/>
    <w:rsid w:val="118B7221"/>
    <w:rsid w:val="11AB09B5"/>
    <w:rsid w:val="11B7025F"/>
    <w:rsid w:val="11C36B1F"/>
    <w:rsid w:val="11C52DC5"/>
    <w:rsid w:val="11E46932"/>
    <w:rsid w:val="11F221C7"/>
    <w:rsid w:val="11F2605E"/>
    <w:rsid w:val="11F724E3"/>
    <w:rsid w:val="122227BF"/>
    <w:rsid w:val="12313173"/>
    <w:rsid w:val="12313682"/>
    <w:rsid w:val="12437AFC"/>
    <w:rsid w:val="127A1044"/>
    <w:rsid w:val="128157F4"/>
    <w:rsid w:val="12AA36D7"/>
    <w:rsid w:val="12B566A2"/>
    <w:rsid w:val="12C448B1"/>
    <w:rsid w:val="12D32267"/>
    <w:rsid w:val="12E60488"/>
    <w:rsid w:val="12F05187"/>
    <w:rsid w:val="13142710"/>
    <w:rsid w:val="1335650B"/>
    <w:rsid w:val="133E1FA2"/>
    <w:rsid w:val="13871C6A"/>
    <w:rsid w:val="139377AA"/>
    <w:rsid w:val="13A44407"/>
    <w:rsid w:val="13A46379"/>
    <w:rsid w:val="13BD743A"/>
    <w:rsid w:val="13E2730D"/>
    <w:rsid w:val="13F85ED3"/>
    <w:rsid w:val="140626B0"/>
    <w:rsid w:val="140C350F"/>
    <w:rsid w:val="14207DA2"/>
    <w:rsid w:val="142101C9"/>
    <w:rsid w:val="143164E8"/>
    <w:rsid w:val="14341A45"/>
    <w:rsid w:val="146856DB"/>
    <w:rsid w:val="146B3433"/>
    <w:rsid w:val="14795A57"/>
    <w:rsid w:val="147C72F5"/>
    <w:rsid w:val="14933F94"/>
    <w:rsid w:val="14A34882"/>
    <w:rsid w:val="14A95C11"/>
    <w:rsid w:val="14AA0D30"/>
    <w:rsid w:val="14BA3B44"/>
    <w:rsid w:val="14CD6BF6"/>
    <w:rsid w:val="14EE3158"/>
    <w:rsid w:val="1504334D"/>
    <w:rsid w:val="15085477"/>
    <w:rsid w:val="152578C2"/>
    <w:rsid w:val="154755A3"/>
    <w:rsid w:val="15664CCA"/>
    <w:rsid w:val="156C1118"/>
    <w:rsid w:val="159E0364"/>
    <w:rsid w:val="15A959CF"/>
    <w:rsid w:val="15B93CF7"/>
    <w:rsid w:val="15D36B14"/>
    <w:rsid w:val="15F07F9B"/>
    <w:rsid w:val="16053674"/>
    <w:rsid w:val="16146EAD"/>
    <w:rsid w:val="161A451C"/>
    <w:rsid w:val="161E395E"/>
    <w:rsid w:val="1621543B"/>
    <w:rsid w:val="163E1726"/>
    <w:rsid w:val="16565924"/>
    <w:rsid w:val="167F1A6B"/>
    <w:rsid w:val="16971C37"/>
    <w:rsid w:val="16A448E1"/>
    <w:rsid w:val="16BE14E7"/>
    <w:rsid w:val="16BE34FA"/>
    <w:rsid w:val="16DA6212"/>
    <w:rsid w:val="16ED632E"/>
    <w:rsid w:val="1705386D"/>
    <w:rsid w:val="170A0BE8"/>
    <w:rsid w:val="170D692B"/>
    <w:rsid w:val="1717031D"/>
    <w:rsid w:val="17367C2F"/>
    <w:rsid w:val="17451C21"/>
    <w:rsid w:val="175D47C3"/>
    <w:rsid w:val="176B2704"/>
    <w:rsid w:val="178C5AA1"/>
    <w:rsid w:val="178D35C8"/>
    <w:rsid w:val="17BC2D29"/>
    <w:rsid w:val="17EC4792"/>
    <w:rsid w:val="18025D64"/>
    <w:rsid w:val="1808589E"/>
    <w:rsid w:val="181B6E25"/>
    <w:rsid w:val="18272F04"/>
    <w:rsid w:val="183F0D66"/>
    <w:rsid w:val="1847137D"/>
    <w:rsid w:val="18473583"/>
    <w:rsid w:val="18585984"/>
    <w:rsid w:val="188B47DF"/>
    <w:rsid w:val="18916DBC"/>
    <w:rsid w:val="18AA3C15"/>
    <w:rsid w:val="18BA5D81"/>
    <w:rsid w:val="18C07826"/>
    <w:rsid w:val="18C77023"/>
    <w:rsid w:val="18E45469"/>
    <w:rsid w:val="18EE62E8"/>
    <w:rsid w:val="18FD3C01"/>
    <w:rsid w:val="190E24E6"/>
    <w:rsid w:val="19195D82"/>
    <w:rsid w:val="193033EC"/>
    <w:rsid w:val="19322678"/>
    <w:rsid w:val="194A216C"/>
    <w:rsid w:val="19517451"/>
    <w:rsid w:val="19562DE7"/>
    <w:rsid w:val="19603977"/>
    <w:rsid w:val="196D1879"/>
    <w:rsid w:val="19810F0A"/>
    <w:rsid w:val="199D3E22"/>
    <w:rsid w:val="19A676CD"/>
    <w:rsid w:val="19B34CEE"/>
    <w:rsid w:val="19C57B31"/>
    <w:rsid w:val="19CE54E8"/>
    <w:rsid w:val="19DA0E66"/>
    <w:rsid w:val="1A051B3B"/>
    <w:rsid w:val="1A0868DE"/>
    <w:rsid w:val="1A386BB6"/>
    <w:rsid w:val="1A3E0B9C"/>
    <w:rsid w:val="1A5A0D30"/>
    <w:rsid w:val="1A641248"/>
    <w:rsid w:val="1A6B178B"/>
    <w:rsid w:val="1A6E7911"/>
    <w:rsid w:val="1AA11864"/>
    <w:rsid w:val="1ABF618E"/>
    <w:rsid w:val="1AD90120"/>
    <w:rsid w:val="1AEB035A"/>
    <w:rsid w:val="1AF0114F"/>
    <w:rsid w:val="1AF61156"/>
    <w:rsid w:val="1B114FF8"/>
    <w:rsid w:val="1B136BC2"/>
    <w:rsid w:val="1B1C5890"/>
    <w:rsid w:val="1B2C6156"/>
    <w:rsid w:val="1B363B76"/>
    <w:rsid w:val="1B394ECA"/>
    <w:rsid w:val="1B4D379A"/>
    <w:rsid w:val="1B612DA1"/>
    <w:rsid w:val="1B6F2A95"/>
    <w:rsid w:val="1B7011A6"/>
    <w:rsid w:val="1B894395"/>
    <w:rsid w:val="1BC84BF9"/>
    <w:rsid w:val="1BDD4B1E"/>
    <w:rsid w:val="1BE008E5"/>
    <w:rsid w:val="1BE426E0"/>
    <w:rsid w:val="1BEF5EDC"/>
    <w:rsid w:val="1BF3045F"/>
    <w:rsid w:val="1C171374"/>
    <w:rsid w:val="1C324768"/>
    <w:rsid w:val="1C383244"/>
    <w:rsid w:val="1C4928ED"/>
    <w:rsid w:val="1C6E7E6B"/>
    <w:rsid w:val="1C706707"/>
    <w:rsid w:val="1C881C55"/>
    <w:rsid w:val="1C8C6E3B"/>
    <w:rsid w:val="1C8F4549"/>
    <w:rsid w:val="1C9B1094"/>
    <w:rsid w:val="1C9D7829"/>
    <w:rsid w:val="1CA25487"/>
    <w:rsid w:val="1CC01D49"/>
    <w:rsid w:val="1CCB706C"/>
    <w:rsid w:val="1CD36541"/>
    <w:rsid w:val="1CD53375"/>
    <w:rsid w:val="1CD770E1"/>
    <w:rsid w:val="1CDF3C35"/>
    <w:rsid w:val="1CDF48C5"/>
    <w:rsid w:val="1CED64E7"/>
    <w:rsid w:val="1CF10155"/>
    <w:rsid w:val="1CF655C7"/>
    <w:rsid w:val="1CF70CE3"/>
    <w:rsid w:val="1D083787"/>
    <w:rsid w:val="1D0E4D1B"/>
    <w:rsid w:val="1D1B1576"/>
    <w:rsid w:val="1D201166"/>
    <w:rsid w:val="1D235D75"/>
    <w:rsid w:val="1D464944"/>
    <w:rsid w:val="1D5A4782"/>
    <w:rsid w:val="1D623037"/>
    <w:rsid w:val="1D660B43"/>
    <w:rsid w:val="1D672CB3"/>
    <w:rsid w:val="1D7C0925"/>
    <w:rsid w:val="1D817975"/>
    <w:rsid w:val="1D951979"/>
    <w:rsid w:val="1DAF110E"/>
    <w:rsid w:val="1DB61054"/>
    <w:rsid w:val="1DC835AB"/>
    <w:rsid w:val="1DC94431"/>
    <w:rsid w:val="1DD41F50"/>
    <w:rsid w:val="1DF7725D"/>
    <w:rsid w:val="1DFC15A1"/>
    <w:rsid w:val="1DFC3255"/>
    <w:rsid w:val="1DFD14A7"/>
    <w:rsid w:val="1E107489"/>
    <w:rsid w:val="1E120047"/>
    <w:rsid w:val="1E2456FC"/>
    <w:rsid w:val="1E387717"/>
    <w:rsid w:val="1E426EBA"/>
    <w:rsid w:val="1E5227F5"/>
    <w:rsid w:val="1E5B1486"/>
    <w:rsid w:val="1E6037E4"/>
    <w:rsid w:val="1E6C2CB1"/>
    <w:rsid w:val="1E86604F"/>
    <w:rsid w:val="1E8B2478"/>
    <w:rsid w:val="1EA55F87"/>
    <w:rsid w:val="1EAB38DD"/>
    <w:rsid w:val="1EB06519"/>
    <w:rsid w:val="1EBB4C20"/>
    <w:rsid w:val="1EC57AB3"/>
    <w:rsid w:val="1ECE40F1"/>
    <w:rsid w:val="1EEE7042"/>
    <w:rsid w:val="1EEF2C2E"/>
    <w:rsid w:val="1EF87EC0"/>
    <w:rsid w:val="1EF93282"/>
    <w:rsid w:val="1EFC05DA"/>
    <w:rsid w:val="1F242409"/>
    <w:rsid w:val="1F260691"/>
    <w:rsid w:val="1F274302"/>
    <w:rsid w:val="1F2F1476"/>
    <w:rsid w:val="1F342CDC"/>
    <w:rsid w:val="1F364345"/>
    <w:rsid w:val="1F3C055E"/>
    <w:rsid w:val="1F3F5AEF"/>
    <w:rsid w:val="1F5350F7"/>
    <w:rsid w:val="1F5838AB"/>
    <w:rsid w:val="1F65551D"/>
    <w:rsid w:val="1F721347"/>
    <w:rsid w:val="1F724421"/>
    <w:rsid w:val="1F8B39C7"/>
    <w:rsid w:val="1F925C1F"/>
    <w:rsid w:val="1FA17CC2"/>
    <w:rsid w:val="1FAE057F"/>
    <w:rsid w:val="1FB77434"/>
    <w:rsid w:val="1FCB1131"/>
    <w:rsid w:val="1FD866E0"/>
    <w:rsid w:val="1FEA282E"/>
    <w:rsid w:val="1FF73CD4"/>
    <w:rsid w:val="1FF92872"/>
    <w:rsid w:val="1FFE4976"/>
    <w:rsid w:val="20054643"/>
    <w:rsid w:val="200945DD"/>
    <w:rsid w:val="200B03E4"/>
    <w:rsid w:val="200E293D"/>
    <w:rsid w:val="201802D4"/>
    <w:rsid w:val="20362A4E"/>
    <w:rsid w:val="2043516B"/>
    <w:rsid w:val="204A1446"/>
    <w:rsid w:val="20571955"/>
    <w:rsid w:val="20594713"/>
    <w:rsid w:val="20632091"/>
    <w:rsid w:val="20834EBA"/>
    <w:rsid w:val="20900DEF"/>
    <w:rsid w:val="209B6228"/>
    <w:rsid w:val="20B61DE1"/>
    <w:rsid w:val="20CA13E8"/>
    <w:rsid w:val="20CA3D8E"/>
    <w:rsid w:val="20D245C5"/>
    <w:rsid w:val="20E47858"/>
    <w:rsid w:val="20EE2134"/>
    <w:rsid w:val="20F375E8"/>
    <w:rsid w:val="20F544F1"/>
    <w:rsid w:val="211508B6"/>
    <w:rsid w:val="21182154"/>
    <w:rsid w:val="21206CAA"/>
    <w:rsid w:val="2127683B"/>
    <w:rsid w:val="213F3B84"/>
    <w:rsid w:val="2148186B"/>
    <w:rsid w:val="21776D10"/>
    <w:rsid w:val="218F0CEB"/>
    <w:rsid w:val="21A47E8B"/>
    <w:rsid w:val="21B52099"/>
    <w:rsid w:val="21EA64FE"/>
    <w:rsid w:val="223236E9"/>
    <w:rsid w:val="223F0861"/>
    <w:rsid w:val="224A27E1"/>
    <w:rsid w:val="224D407F"/>
    <w:rsid w:val="22543660"/>
    <w:rsid w:val="225F78FB"/>
    <w:rsid w:val="227347E3"/>
    <w:rsid w:val="227D4749"/>
    <w:rsid w:val="22B66C67"/>
    <w:rsid w:val="22B96619"/>
    <w:rsid w:val="22C34214"/>
    <w:rsid w:val="22C9349D"/>
    <w:rsid w:val="22CF4CB9"/>
    <w:rsid w:val="22E5714F"/>
    <w:rsid w:val="23073234"/>
    <w:rsid w:val="23153D35"/>
    <w:rsid w:val="231859C4"/>
    <w:rsid w:val="233651B2"/>
    <w:rsid w:val="233C5C01"/>
    <w:rsid w:val="235A2EF8"/>
    <w:rsid w:val="23655593"/>
    <w:rsid w:val="237044C9"/>
    <w:rsid w:val="23873CA0"/>
    <w:rsid w:val="23A668C2"/>
    <w:rsid w:val="23B5012E"/>
    <w:rsid w:val="23B50BF5"/>
    <w:rsid w:val="23C6058D"/>
    <w:rsid w:val="23CC2CE3"/>
    <w:rsid w:val="23E97DD8"/>
    <w:rsid w:val="23F81D1C"/>
    <w:rsid w:val="24004EF0"/>
    <w:rsid w:val="242552B4"/>
    <w:rsid w:val="242D23BA"/>
    <w:rsid w:val="24361C71"/>
    <w:rsid w:val="244514B2"/>
    <w:rsid w:val="245222E6"/>
    <w:rsid w:val="2455798C"/>
    <w:rsid w:val="246851A0"/>
    <w:rsid w:val="246E4FE1"/>
    <w:rsid w:val="247771B1"/>
    <w:rsid w:val="24797436"/>
    <w:rsid w:val="24893698"/>
    <w:rsid w:val="248A0DA1"/>
    <w:rsid w:val="248B0DC9"/>
    <w:rsid w:val="24AC7248"/>
    <w:rsid w:val="24B228BF"/>
    <w:rsid w:val="24BC54EC"/>
    <w:rsid w:val="24DE364C"/>
    <w:rsid w:val="24EF440E"/>
    <w:rsid w:val="25007ACF"/>
    <w:rsid w:val="25076767"/>
    <w:rsid w:val="25191A92"/>
    <w:rsid w:val="25290357"/>
    <w:rsid w:val="253C3B25"/>
    <w:rsid w:val="25513E86"/>
    <w:rsid w:val="255F5B0A"/>
    <w:rsid w:val="25664EB1"/>
    <w:rsid w:val="257302A1"/>
    <w:rsid w:val="2573629D"/>
    <w:rsid w:val="257B7E43"/>
    <w:rsid w:val="25A7022D"/>
    <w:rsid w:val="25B06295"/>
    <w:rsid w:val="25C32FD6"/>
    <w:rsid w:val="25C603D0"/>
    <w:rsid w:val="25E1520A"/>
    <w:rsid w:val="25E2513A"/>
    <w:rsid w:val="25F45922"/>
    <w:rsid w:val="25FD2F48"/>
    <w:rsid w:val="261E645E"/>
    <w:rsid w:val="262E21CA"/>
    <w:rsid w:val="26713F63"/>
    <w:rsid w:val="26753166"/>
    <w:rsid w:val="267B561B"/>
    <w:rsid w:val="267C5A99"/>
    <w:rsid w:val="2682148D"/>
    <w:rsid w:val="26832765"/>
    <w:rsid w:val="268D22B5"/>
    <w:rsid w:val="269240CC"/>
    <w:rsid w:val="269A47B4"/>
    <w:rsid w:val="269E759F"/>
    <w:rsid w:val="26A526DC"/>
    <w:rsid w:val="26A5448A"/>
    <w:rsid w:val="26BF5BA2"/>
    <w:rsid w:val="26CB1A16"/>
    <w:rsid w:val="26D96B5A"/>
    <w:rsid w:val="26EC7F5B"/>
    <w:rsid w:val="27016CF5"/>
    <w:rsid w:val="27175BDC"/>
    <w:rsid w:val="271B299E"/>
    <w:rsid w:val="271E071C"/>
    <w:rsid w:val="272B00CD"/>
    <w:rsid w:val="27381EB7"/>
    <w:rsid w:val="275E5E47"/>
    <w:rsid w:val="276C4FA7"/>
    <w:rsid w:val="27924AA1"/>
    <w:rsid w:val="27942BC4"/>
    <w:rsid w:val="27962E21"/>
    <w:rsid w:val="279768B3"/>
    <w:rsid w:val="279A19EA"/>
    <w:rsid w:val="27B169B4"/>
    <w:rsid w:val="27B21745"/>
    <w:rsid w:val="27B32BD6"/>
    <w:rsid w:val="27B45C73"/>
    <w:rsid w:val="27B911ED"/>
    <w:rsid w:val="27D27F60"/>
    <w:rsid w:val="27E744FA"/>
    <w:rsid w:val="27F83B89"/>
    <w:rsid w:val="27FE146D"/>
    <w:rsid w:val="28037CCB"/>
    <w:rsid w:val="28321D4D"/>
    <w:rsid w:val="283E36E3"/>
    <w:rsid w:val="283F446A"/>
    <w:rsid w:val="284675E2"/>
    <w:rsid w:val="284E0B22"/>
    <w:rsid w:val="28543497"/>
    <w:rsid w:val="28630B61"/>
    <w:rsid w:val="286C012F"/>
    <w:rsid w:val="286E4D4F"/>
    <w:rsid w:val="289B5942"/>
    <w:rsid w:val="28B77612"/>
    <w:rsid w:val="28BB465F"/>
    <w:rsid w:val="28D728F5"/>
    <w:rsid w:val="28E55011"/>
    <w:rsid w:val="28F25980"/>
    <w:rsid w:val="29012269"/>
    <w:rsid w:val="291451AB"/>
    <w:rsid w:val="29157417"/>
    <w:rsid w:val="29285E0F"/>
    <w:rsid w:val="294477FD"/>
    <w:rsid w:val="2947617E"/>
    <w:rsid w:val="29505C1F"/>
    <w:rsid w:val="296323DA"/>
    <w:rsid w:val="297158AB"/>
    <w:rsid w:val="29807966"/>
    <w:rsid w:val="299D065B"/>
    <w:rsid w:val="29B50FF4"/>
    <w:rsid w:val="29C02FCD"/>
    <w:rsid w:val="29C63807"/>
    <w:rsid w:val="29EB45D3"/>
    <w:rsid w:val="2A0312F6"/>
    <w:rsid w:val="2A07685B"/>
    <w:rsid w:val="2A0A72B2"/>
    <w:rsid w:val="2A102562"/>
    <w:rsid w:val="2A125E2D"/>
    <w:rsid w:val="2A250422"/>
    <w:rsid w:val="2A2569D8"/>
    <w:rsid w:val="2A2F7528"/>
    <w:rsid w:val="2A3E46F3"/>
    <w:rsid w:val="2A5F36CE"/>
    <w:rsid w:val="2A613F70"/>
    <w:rsid w:val="2A7975D0"/>
    <w:rsid w:val="2A7B46D0"/>
    <w:rsid w:val="2A7E694A"/>
    <w:rsid w:val="2A88405F"/>
    <w:rsid w:val="2AB54EB7"/>
    <w:rsid w:val="2AC03F74"/>
    <w:rsid w:val="2AC86999"/>
    <w:rsid w:val="2ACD4D90"/>
    <w:rsid w:val="2ADC43C4"/>
    <w:rsid w:val="2AE07B98"/>
    <w:rsid w:val="2AE337D3"/>
    <w:rsid w:val="2B057BED"/>
    <w:rsid w:val="2B1B36C2"/>
    <w:rsid w:val="2B3C1AAA"/>
    <w:rsid w:val="2B77216D"/>
    <w:rsid w:val="2B7A42C1"/>
    <w:rsid w:val="2B82668D"/>
    <w:rsid w:val="2B8C19B3"/>
    <w:rsid w:val="2B9A7EB4"/>
    <w:rsid w:val="2BB8407D"/>
    <w:rsid w:val="2BBE24DE"/>
    <w:rsid w:val="2BBF0C02"/>
    <w:rsid w:val="2BC270C8"/>
    <w:rsid w:val="2BDD28EB"/>
    <w:rsid w:val="2BE5357A"/>
    <w:rsid w:val="2BEC66B7"/>
    <w:rsid w:val="2BF43094"/>
    <w:rsid w:val="2BF909AA"/>
    <w:rsid w:val="2BFC0D12"/>
    <w:rsid w:val="2C016606"/>
    <w:rsid w:val="2C0757B7"/>
    <w:rsid w:val="2C153E60"/>
    <w:rsid w:val="2C1E422F"/>
    <w:rsid w:val="2C3818FC"/>
    <w:rsid w:val="2C5950A4"/>
    <w:rsid w:val="2C660130"/>
    <w:rsid w:val="2C73502A"/>
    <w:rsid w:val="2CAD3317"/>
    <w:rsid w:val="2CB9711D"/>
    <w:rsid w:val="2CDA0C05"/>
    <w:rsid w:val="2CEA52EC"/>
    <w:rsid w:val="2CF3363A"/>
    <w:rsid w:val="2D000C25"/>
    <w:rsid w:val="2D0F4DB4"/>
    <w:rsid w:val="2D2D36A5"/>
    <w:rsid w:val="2D365B16"/>
    <w:rsid w:val="2D4B38B1"/>
    <w:rsid w:val="2D5646DC"/>
    <w:rsid w:val="2D584691"/>
    <w:rsid w:val="2D6D2070"/>
    <w:rsid w:val="2D9708A4"/>
    <w:rsid w:val="2D9D0838"/>
    <w:rsid w:val="2D9E1C33"/>
    <w:rsid w:val="2DB652A4"/>
    <w:rsid w:val="2DB943B8"/>
    <w:rsid w:val="2DBA2F11"/>
    <w:rsid w:val="2DBB2419"/>
    <w:rsid w:val="2DBF7001"/>
    <w:rsid w:val="2DC26166"/>
    <w:rsid w:val="2DCF44E2"/>
    <w:rsid w:val="2DD13DB6"/>
    <w:rsid w:val="2DD903A8"/>
    <w:rsid w:val="2DEA2F76"/>
    <w:rsid w:val="2DF041FF"/>
    <w:rsid w:val="2DF05F6F"/>
    <w:rsid w:val="2DF76E1B"/>
    <w:rsid w:val="2DFD2DFD"/>
    <w:rsid w:val="2E020414"/>
    <w:rsid w:val="2E10357E"/>
    <w:rsid w:val="2E177A17"/>
    <w:rsid w:val="2E1B30B3"/>
    <w:rsid w:val="2E310CF9"/>
    <w:rsid w:val="2E3E487D"/>
    <w:rsid w:val="2E41360C"/>
    <w:rsid w:val="2E450300"/>
    <w:rsid w:val="2E607FBE"/>
    <w:rsid w:val="2E615CAF"/>
    <w:rsid w:val="2E64456A"/>
    <w:rsid w:val="2E7264C5"/>
    <w:rsid w:val="2E7653DE"/>
    <w:rsid w:val="2E842882"/>
    <w:rsid w:val="2E8C6A3D"/>
    <w:rsid w:val="2EB508B8"/>
    <w:rsid w:val="2ED71BB4"/>
    <w:rsid w:val="2EF47A31"/>
    <w:rsid w:val="2F04472C"/>
    <w:rsid w:val="2F066396"/>
    <w:rsid w:val="2F2220C8"/>
    <w:rsid w:val="2F2655A5"/>
    <w:rsid w:val="2F30138F"/>
    <w:rsid w:val="2F5628C1"/>
    <w:rsid w:val="2F666780"/>
    <w:rsid w:val="2F6C2646"/>
    <w:rsid w:val="2F715851"/>
    <w:rsid w:val="2F81781A"/>
    <w:rsid w:val="2F8310E0"/>
    <w:rsid w:val="2FBA6AB0"/>
    <w:rsid w:val="2FDA5233"/>
    <w:rsid w:val="30186987"/>
    <w:rsid w:val="30383160"/>
    <w:rsid w:val="30396B3B"/>
    <w:rsid w:val="303D3D8D"/>
    <w:rsid w:val="30410449"/>
    <w:rsid w:val="304B34C7"/>
    <w:rsid w:val="304C3BC8"/>
    <w:rsid w:val="306F3884"/>
    <w:rsid w:val="30817D16"/>
    <w:rsid w:val="308C6F5A"/>
    <w:rsid w:val="3095731D"/>
    <w:rsid w:val="30977539"/>
    <w:rsid w:val="30AE1C64"/>
    <w:rsid w:val="30B654E5"/>
    <w:rsid w:val="30B73737"/>
    <w:rsid w:val="30C65728"/>
    <w:rsid w:val="30D06AF0"/>
    <w:rsid w:val="30DC1248"/>
    <w:rsid w:val="30E16401"/>
    <w:rsid w:val="30F229C1"/>
    <w:rsid w:val="30F93D50"/>
    <w:rsid w:val="310149B3"/>
    <w:rsid w:val="31175F84"/>
    <w:rsid w:val="313C3C3D"/>
    <w:rsid w:val="31405015"/>
    <w:rsid w:val="31537EEC"/>
    <w:rsid w:val="31591892"/>
    <w:rsid w:val="316F0F32"/>
    <w:rsid w:val="31736100"/>
    <w:rsid w:val="31750446"/>
    <w:rsid w:val="31773981"/>
    <w:rsid w:val="318F234F"/>
    <w:rsid w:val="319C6FC9"/>
    <w:rsid w:val="3205097C"/>
    <w:rsid w:val="3219245E"/>
    <w:rsid w:val="323677EC"/>
    <w:rsid w:val="32382656"/>
    <w:rsid w:val="323827BE"/>
    <w:rsid w:val="3240775C"/>
    <w:rsid w:val="32495754"/>
    <w:rsid w:val="32541D1E"/>
    <w:rsid w:val="32601BAD"/>
    <w:rsid w:val="32605AA8"/>
    <w:rsid w:val="32615E04"/>
    <w:rsid w:val="326849A2"/>
    <w:rsid w:val="326B0F6E"/>
    <w:rsid w:val="327B69E7"/>
    <w:rsid w:val="328126D8"/>
    <w:rsid w:val="3284589B"/>
    <w:rsid w:val="32847649"/>
    <w:rsid w:val="32A04DB4"/>
    <w:rsid w:val="32BB4137"/>
    <w:rsid w:val="32C57C62"/>
    <w:rsid w:val="32D07FAA"/>
    <w:rsid w:val="32DE0BF1"/>
    <w:rsid w:val="32E158F1"/>
    <w:rsid w:val="33031007"/>
    <w:rsid w:val="330A1B9B"/>
    <w:rsid w:val="331C3D26"/>
    <w:rsid w:val="33341058"/>
    <w:rsid w:val="333472C1"/>
    <w:rsid w:val="33501C21"/>
    <w:rsid w:val="3361588C"/>
    <w:rsid w:val="33797999"/>
    <w:rsid w:val="338032CF"/>
    <w:rsid w:val="339F17B8"/>
    <w:rsid w:val="339F3BDD"/>
    <w:rsid w:val="33A9773C"/>
    <w:rsid w:val="33BE302F"/>
    <w:rsid w:val="33CE4708"/>
    <w:rsid w:val="33D00CCC"/>
    <w:rsid w:val="33DE722D"/>
    <w:rsid w:val="33E93AE7"/>
    <w:rsid w:val="33FB47B2"/>
    <w:rsid w:val="33FE062C"/>
    <w:rsid w:val="34000F51"/>
    <w:rsid w:val="34056B2D"/>
    <w:rsid w:val="340D123D"/>
    <w:rsid w:val="340D402A"/>
    <w:rsid w:val="34117F4A"/>
    <w:rsid w:val="34157A69"/>
    <w:rsid w:val="342F04EE"/>
    <w:rsid w:val="343278F3"/>
    <w:rsid w:val="343773FE"/>
    <w:rsid w:val="344352BB"/>
    <w:rsid w:val="34565015"/>
    <w:rsid w:val="345F13D2"/>
    <w:rsid w:val="346614E2"/>
    <w:rsid w:val="346F44E7"/>
    <w:rsid w:val="3477121B"/>
    <w:rsid w:val="34833930"/>
    <w:rsid w:val="348576A9"/>
    <w:rsid w:val="34880F47"/>
    <w:rsid w:val="34C33940"/>
    <w:rsid w:val="34CE5612"/>
    <w:rsid w:val="34CF786E"/>
    <w:rsid w:val="34D67F04"/>
    <w:rsid w:val="34DA288E"/>
    <w:rsid w:val="34E07C21"/>
    <w:rsid w:val="34E11C57"/>
    <w:rsid w:val="34E43EEA"/>
    <w:rsid w:val="34F47C15"/>
    <w:rsid w:val="34F540BD"/>
    <w:rsid w:val="34FF3C2C"/>
    <w:rsid w:val="35063B46"/>
    <w:rsid w:val="35095EB0"/>
    <w:rsid w:val="351C3CD0"/>
    <w:rsid w:val="352F1E92"/>
    <w:rsid w:val="353763F9"/>
    <w:rsid w:val="353C79F3"/>
    <w:rsid w:val="353F5F9A"/>
    <w:rsid w:val="35600779"/>
    <w:rsid w:val="35657FED"/>
    <w:rsid w:val="35976ED7"/>
    <w:rsid w:val="35977693"/>
    <w:rsid w:val="35980087"/>
    <w:rsid w:val="35B84DAB"/>
    <w:rsid w:val="35C52894"/>
    <w:rsid w:val="35D07049"/>
    <w:rsid w:val="35F036ED"/>
    <w:rsid w:val="35FB5BA7"/>
    <w:rsid w:val="36021E5F"/>
    <w:rsid w:val="36327AC4"/>
    <w:rsid w:val="3634601F"/>
    <w:rsid w:val="36496AF6"/>
    <w:rsid w:val="36547421"/>
    <w:rsid w:val="365E6403"/>
    <w:rsid w:val="367251E5"/>
    <w:rsid w:val="36826596"/>
    <w:rsid w:val="36903B9D"/>
    <w:rsid w:val="369736C3"/>
    <w:rsid w:val="36C301B0"/>
    <w:rsid w:val="36C40C39"/>
    <w:rsid w:val="36C95739"/>
    <w:rsid w:val="36D6243D"/>
    <w:rsid w:val="36DE6128"/>
    <w:rsid w:val="36DE6652"/>
    <w:rsid w:val="36F01751"/>
    <w:rsid w:val="36FD0B04"/>
    <w:rsid w:val="370275A1"/>
    <w:rsid w:val="3709636F"/>
    <w:rsid w:val="370C2D55"/>
    <w:rsid w:val="370E7E29"/>
    <w:rsid w:val="37215DAE"/>
    <w:rsid w:val="372633C5"/>
    <w:rsid w:val="372F7F54"/>
    <w:rsid w:val="37425D25"/>
    <w:rsid w:val="374754B1"/>
    <w:rsid w:val="374E45F3"/>
    <w:rsid w:val="37624933"/>
    <w:rsid w:val="37710FF7"/>
    <w:rsid w:val="377870D5"/>
    <w:rsid w:val="378C7B63"/>
    <w:rsid w:val="37C01AB5"/>
    <w:rsid w:val="37C357B7"/>
    <w:rsid w:val="37C8480D"/>
    <w:rsid w:val="38107733"/>
    <w:rsid w:val="38156F95"/>
    <w:rsid w:val="38246750"/>
    <w:rsid w:val="382A0C93"/>
    <w:rsid w:val="382E7411"/>
    <w:rsid w:val="38552071"/>
    <w:rsid w:val="385F25BB"/>
    <w:rsid w:val="386609E8"/>
    <w:rsid w:val="387B2A25"/>
    <w:rsid w:val="38997BC6"/>
    <w:rsid w:val="38A0575D"/>
    <w:rsid w:val="38A14437"/>
    <w:rsid w:val="38AC16A8"/>
    <w:rsid w:val="38B577A9"/>
    <w:rsid w:val="38B74C05"/>
    <w:rsid w:val="38CC421D"/>
    <w:rsid w:val="38D16635"/>
    <w:rsid w:val="38D373E7"/>
    <w:rsid w:val="38FA57F0"/>
    <w:rsid w:val="3936186D"/>
    <w:rsid w:val="395104A1"/>
    <w:rsid w:val="39514E0B"/>
    <w:rsid w:val="39566F53"/>
    <w:rsid w:val="395941C6"/>
    <w:rsid w:val="39693A3D"/>
    <w:rsid w:val="397905D6"/>
    <w:rsid w:val="39864DE3"/>
    <w:rsid w:val="39976270"/>
    <w:rsid w:val="399C32F4"/>
    <w:rsid w:val="399D5638"/>
    <w:rsid w:val="39B41C18"/>
    <w:rsid w:val="39B653E7"/>
    <w:rsid w:val="39C538F9"/>
    <w:rsid w:val="39CF5727"/>
    <w:rsid w:val="39D210D0"/>
    <w:rsid w:val="39D31839"/>
    <w:rsid w:val="39D7425E"/>
    <w:rsid w:val="39F2758E"/>
    <w:rsid w:val="39F82FB1"/>
    <w:rsid w:val="3A086DB2"/>
    <w:rsid w:val="3A1C273B"/>
    <w:rsid w:val="3A255D6F"/>
    <w:rsid w:val="3A291776"/>
    <w:rsid w:val="3A2B2AA0"/>
    <w:rsid w:val="3A30455A"/>
    <w:rsid w:val="3A43382A"/>
    <w:rsid w:val="3A51108A"/>
    <w:rsid w:val="3A5C534F"/>
    <w:rsid w:val="3A604CCB"/>
    <w:rsid w:val="3A667F7C"/>
    <w:rsid w:val="3A6711EA"/>
    <w:rsid w:val="3A6B021B"/>
    <w:rsid w:val="3A6C27C7"/>
    <w:rsid w:val="3A7D77A0"/>
    <w:rsid w:val="3A7E7CFE"/>
    <w:rsid w:val="3A95616C"/>
    <w:rsid w:val="3AB03D58"/>
    <w:rsid w:val="3AC0143A"/>
    <w:rsid w:val="3AE72E6B"/>
    <w:rsid w:val="3AF31112"/>
    <w:rsid w:val="3AF71C4F"/>
    <w:rsid w:val="3B0C28E2"/>
    <w:rsid w:val="3B325752"/>
    <w:rsid w:val="3B4113F9"/>
    <w:rsid w:val="3B4503AF"/>
    <w:rsid w:val="3B4B164C"/>
    <w:rsid w:val="3B4C0F20"/>
    <w:rsid w:val="3B4F0A10"/>
    <w:rsid w:val="3B5E513D"/>
    <w:rsid w:val="3B6E2308"/>
    <w:rsid w:val="3B700B9E"/>
    <w:rsid w:val="3B7A70C3"/>
    <w:rsid w:val="3B8C568A"/>
    <w:rsid w:val="3B8C6B52"/>
    <w:rsid w:val="3B9265F7"/>
    <w:rsid w:val="3BB36501"/>
    <w:rsid w:val="3BC10F8A"/>
    <w:rsid w:val="3BCA0430"/>
    <w:rsid w:val="3BD66A3C"/>
    <w:rsid w:val="3BDC3F68"/>
    <w:rsid w:val="3BDD601C"/>
    <w:rsid w:val="3BE21884"/>
    <w:rsid w:val="3C0D7BA2"/>
    <w:rsid w:val="3C1464E6"/>
    <w:rsid w:val="3C1F3B0A"/>
    <w:rsid w:val="3C2F5079"/>
    <w:rsid w:val="3C3814A4"/>
    <w:rsid w:val="3C3D7460"/>
    <w:rsid w:val="3C616C4D"/>
    <w:rsid w:val="3C6248AD"/>
    <w:rsid w:val="3C795D45"/>
    <w:rsid w:val="3C820BF8"/>
    <w:rsid w:val="3C9A772E"/>
    <w:rsid w:val="3CB974FB"/>
    <w:rsid w:val="3CD16A6C"/>
    <w:rsid w:val="3CFC0724"/>
    <w:rsid w:val="3CFF2A56"/>
    <w:rsid w:val="3D015D3A"/>
    <w:rsid w:val="3D083C3D"/>
    <w:rsid w:val="3D0F0BF5"/>
    <w:rsid w:val="3D254DA7"/>
    <w:rsid w:val="3D31435C"/>
    <w:rsid w:val="3D367754"/>
    <w:rsid w:val="3D4D01FD"/>
    <w:rsid w:val="3D8116F1"/>
    <w:rsid w:val="3D842DB5"/>
    <w:rsid w:val="3D927E3F"/>
    <w:rsid w:val="3DB345FF"/>
    <w:rsid w:val="3DB41B96"/>
    <w:rsid w:val="3DD76D85"/>
    <w:rsid w:val="3DD83ABF"/>
    <w:rsid w:val="3DD86A9B"/>
    <w:rsid w:val="3DDA437C"/>
    <w:rsid w:val="3DEE4511"/>
    <w:rsid w:val="3DF461A3"/>
    <w:rsid w:val="3E03072B"/>
    <w:rsid w:val="3E0B6234"/>
    <w:rsid w:val="3E0C4997"/>
    <w:rsid w:val="3E104487"/>
    <w:rsid w:val="3E1516BF"/>
    <w:rsid w:val="3E201151"/>
    <w:rsid w:val="3E54572C"/>
    <w:rsid w:val="3E600BB4"/>
    <w:rsid w:val="3E704F26"/>
    <w:rsid w:val="3E726EF0"/>
    <w:rsid w:val="3E8A2129"/>
    <w:rsid w:val="3E8C3990"/>
    <w:rsid w:val="3EA90437"/>
    <w:rsid w:val="3EC534C3"/>
    <w:rsid w:val="3EDA4D3F"/>
    <w:rsid w:val="3F0B745A"/>
    <w:rsid w:val="3F1708AB"/>
    <w:rsid w:val="3F8A0269"/>
    <w:rsid w:val="3F8A3D39"/>
    <w:rsid w:val="3F8D0174"/>
    <w:rsid w:val="3F95226A"/>
    <w:rsid w:val="3F987717"/>
    <w:rsid w:val="3FD23300"/>
    <w:rsid w:val="3FF47042"/>
    <w:rsid w:val="3FF54785"/>
    <w:rsid w:val="3FFC0AB7"/>
    <w:rsid w:val="3FFF0B26"/>
    <w:rsid w:val="4001677D"/>
    <w:rsid w:val="400445D6"/>
    <w:rsid w:val="4015659C"/>
    <w:rsid w:val="401D268F"/>
    <w:rsid w:val="40271F5C"/>
    <w:rsid w:val="403D5DB4"/>
    <w:rsid w:val="40444047"/>
    <w:rsid w:val="40452250"/>
    <w:rsid w:val="40501155"/>
    <w:rsid w:val="405229A9"/>
    <w:rsid w:val="40534AFF"/>
    <w:rsid w:val="406D3E12"/>
    <w:rsid w:val="408175F7"/>
    <w:rsid w:val="40955117"/>
    <w:rsid w:val="409E45E2"/>
    <w:rsid w:val="40A52125"/>
    <w:rsid w:val="40AE436A"/>
    <w:rsid w:val="40B61FF8"/>
    <w:rsid w:val="40C7171A"/>
    <w:rsid w:val="40D724A1"/>
    <w:rsid w:val="40DB5220"/>
    <w:rsid w:val="40E72D37"/>
    <w:rsid w:val="40E8793D"/>
    <w:rsid w:val="40EF4827"/>
    <w:rsid w:val="4114603C"/>
    <w:rsid w:val="413E57AF"/>
    <w:rsid w:val="415A1391"/>
    <w:rsid w:val="415E5B0A"/>
    <w:rsid w:val="41801923"/>
    <w:rsid w:val="41965A41"/>
    <w:rsid w:val="41970D49"/>
    <w:rsid w:val="41A25D3E"/>
    <w:rsid w:val="41B92A4F"/>
    <w:rsid w:val="41C964B4"/>
    <w:rsid w:val="41D13F2D"/>
    <w:rsid w:val="41D517BE"/>
    <w:rsid w:val="41D5429B"/>
    <w:rsid w:val="41F92ABD"/>
    <w:rsid w:val="41FC1B6A"/>
    <w:rsid w:val="42332E3A"/>
    <w:rsid w:val="423C4D26"/>
    <w:rsid w:val="42416CF7"/>
    <w:rsid w:val="424D1C7F"/>
    <w:rsid w:val="425846A6"/>
    <w:rsid w:val="426137A1"/>
    <w:rsid w:val="42624E34"/>
    <w:rsid w:val="427F218F"/>
    <w:rsid w:val="42840AD6"/>
    <w:rsid w:val="42870A90"/>
    <w:rsid w:val="428B63CF"/>
    <w:rsid w:val="42AF67D0"/>
    <w:rsid w:val="42BC0E70"/>
    <w:rsid w:val="42C245CE"/>
    <w:rsid w:val="42C35F6C"/>
    <w:rsid w:val="42CE53D3"/>
    <w:rsid w:val="42CF6F4F"/>
    <w:rsid w:val="42DD0E52"/>
    <w:rsid w:val="42F25C9A"/>
    <w:rsid w:val="43055AE1"/>
    <w:rsid w:val="430976F7"/>
    <w:rsid w:val="431A0C24"/>
    <w:rsid w:val="43284021"/>
    <w:rsid w:val="432D1637"/>
    <w:rsid w:val="43386236"/>
    <w:rsid w:val="434E1C20"/>
    <w:rsid w:val="43620283"/>
    <w:rsid w:val="4363286E"/>
    <w:rsid w:val="437101AA"/>
    <w:rsid w:val="43741014"/>
    <w:rsid w:val="43A73BE3"/>
    <w:rsid w:val="43AE7A7E"/>
    <w:rsid w:val="43B01826"/>
    <w:rsid w:val="43C7383A"/>
    <w:rsid w:val="43CA157C"/>
    <w:rsid w:val="43CF502D"/>
    <w:rsid w:val="43E8521C"/>
    <w:rsid w:val="43FD36FF"/>
    <w:rsid w:val="440B02B4"/>
    <w:rsid w:val="441C5080"/>
    <w:rsid w:val="44233849"/>
    <w:rsid w:val="44496945"/>
    <w:rsid w:val="446B500C"/>
    <w:rsid w:val="448508DF"/>
    <w:rsid w:val="44BF18A2"/>
    <w:rsid w:val="44CF71AB"/>
    <w:rsid w:val="44E23735"/>
    <w:rsid w:val="44E26451"/>
    <w:rsid w:val="44E67CEF"/>
    <w:rsid w:val="44EA77F7"/>
    <w:rsid w:val="4517434D"/>
    <w:rsid w:val="45357785"/>
    <w:rsid w:val="45387766"/>
    <w:rsid w:val="453A760F"/>
    <w:rsid w:val="45491A3E"/>
    <w:rsid w:val="45503B28"/>
    <w:rsid w:val="45853082"/>
    <w:rsid w:val="45857508"/>
    <w:rsid w:val="45891F3C"/>
    <w:rsid w:val="4590274A"/>
    <w:rsid w:val="45905EAD"/>
    <w:rsid w:val="45A32084"/>
    <w:rsid w:val="45A8769B"/>
    <w:rsid w:val="45C344D5"/>
    <w:rsid w:val="45C864B7"/>
    <w:rsid w:val="45D264C6"/>
    <w:rsid w:val="45ED50AE"/>
    <w:rsid w:val="45FD0891"/>
    <w:rsid w:val="46185D52"/>
    <w:rsid w:val="46192347"/>
    <w:rsid w:val="46252A99"/>
    <w:rsid w:val="462C285E"/>
    <w:rsid w:val="4639249F"/>
    <w:rsid w:val="463A0304"/>
    <w:rsid w:val="464A4975"/>
    <w:rsid w:val="465670F7"/>
    <w:rsid w:val="4665558C"/>
    <w:rsid w:val="467C2D95"/>
    <w:rsid w:val="46805F22"/>
    <w:rsid w:val="468477C0"/>
    <w:rsid w:val="4689127A"/>
    <w:rsid w:val="4695468D"/>
    <w:rsid w:val="469A6A31"/>
    <w:rsid w:val="46C73B51"/>
    <w:rsid w:val="46CA3A9F"/>
    <w:rsid w:val="46D83FB0"/>
    <w:rsid w:val="46F25071"/>
    <w:rsid w:val="471553B4"/>
    <w:rsid w:val="471E6457"/>
    <w:rsid w:val="471F398D"/>
    <w:rsid w:val="47232D85"/>
    <w:rsid w:val="475F6267"/>
    <w:rsid w:val="4760207C"/>
    <w:rsid w:val="4766336A"/>
    <w:rsid w:val="47743C9D"/>
    <w:rsid w:val="478657BA"/>
    <w:rsid w:val="478B55A3"/>
    <w:rsid w:val="47906F17"/>
    <w:rsid w:val="479A7A31"/>
    <w:rsid w:val="479B1699"/>
    <w:rsid w:val="479B3721"/>
    <w:rsid w:val="47A10846"/>
    <w:rsid w:val="47AF51BF"/>
    <w:rsid w:val="47B81E12"/>
    <w:rsid w:val="47C12FC5"/>
    <w:rsid w:val="47D03B18"/>
    <w:rsid w:val="47DB1D58"/>
    <w:rsid w:val="47ED29D3"/>
    <w:rsid w:val="47EF74A3"/>
    <w:rsid w:val="47F50C9B"/>
    <w:rsid w:val="480C5CBF"/>
    <w:rsid w:val="480F1D14"/>
    <w:rsid w:val="4834394A"/>
    <w:rsid w:val="48390A7E"/>
    <w:rsid w:val="48515DC8"/>
    <w:rsid w:val="48531B40"/>
    <w:rsid w:val="485A65F3"/>
    <w:rsid w:val="48987720"/>
    <w:rsid w:val="489B34E7"/>
    <w:rsid w:val="489D4A92"/>
    <w:rsid w:val="48AA0D47"/>
    <w:rsid w:val="48AB437A"/>
    <w:rsid w:val="48B63E7D"/>
    <w:rsid w:val="48BB5E99"/>
    <w:rsid w:val="48C7608A"/>
    <w:rsid w:val="48E704DA"/>
    <w:rsid w:val="48E709AB"/>
    <w:rsid w:val="48FD1AAC"/>
    <w:rsid w:val="49074129"/>
    <w:rsid w:val="491C4628"/>
    <w:rsid w:val="491E413A"/>
    <w:rsid w:val="492B5D1A"/>
    <w:rsid w:val="49356195"/>
    <w:rsid w:val="493E72F4"/>
    <w:rsid w:val="49477CA3"/>
    <w:rsid w:val="495105E0"/>
    <w:rsid w:val="495530D2"/>
    <w:rsid w:val="495D4FB7"/>
    <w:rsid w:val="495F0F47"/>
    <w:rsid w:val="497F0713"/>
    <w:rsid w:val="49850611"/>
    <w:rsid w:val="49902920"/>
    <w:rsid w:val="499C3073"/>
    <w:rsid w:val="49B4660E"/>
    <w:rsid w:val="49E47F0A"/>
    <w:rsid w:val="4A221E06"/>
    <w:rsid w:val="4A2C05A1"/>
    <w:rsid w:val="4A487A49"/>
    <w:rsid w:val="4A563B69"/>
    <w:rsid w:val="4A661827"/>
    <w:rsid w:val="4A77137D"/>
    <w:rsid w:val="4A995804"/>
    <w:rsid w:val="4A9D3546"/>
    <w:rsid w:val="4AAA5C63"/>
    <w:rsid w:val="4AAC19DB"/>
    <w:rsid w:val="4ABE4002"/>
    <w:rsid w:val="4AD3789D"/>
    <w:rsid w:val="4AE61558"/>
    <w:rsid w:val="4AE629A4"/>
    <w:rsid w:val="4AF93679"/>
    <w:rsid w:val="4B1E0386"/>
    <w:rsid w:val="4B2B6DA4"/>
    <w:rsid w:val="4B327DA5"/>
    <w:rsid w:val="4B483ECE"/>
    <w:rsid w:val="4B4D5DE5"/>
    <w:rsid w:val="4B53713F"/>
    <w:rsid w:val="4B5918B4"/>
    <w:rsid w:val="4B5E178B"/>
    <w:rsid w:val="4B7A3887"/>
    <w:rsid w:val="4B7D53C9"/>
    <w:rsid w:val="4B85293F"/>
    <w:rsid w:val="4B902502"/>
    <w:rsid w:val="4B9B344B"/>
    <w:rsid w:val="4BA44460"/>
    <w:rsid w:val="4BDB55FA"/>
    <w:rsid w:val="4BF70A34"/>
    <w:rsid w:val="4C017B05"/>
    <w:rsid w:val="4C0849EF"/>
    <w:rsid w:val="4C125927"/>
    <w:rsid w:val="4C3A3FC8"/>
    <w:rsid w:val="4C3D55C6"/>
    <w:rsid w:val="4C520360"/>
    <w:rsid w:val="4C583BC9"/>
    <w:rsid w:val="4C667A5B"/>
    <w:rsid w:val="4C823BCA"/>
    <w:rsid w:val="4C8C73CE"/>
    <w:rsid w:val="4C9F1330"/>
    <w:rsid w:val="4CA23096"/>
    <w:rsid w:val="4CAB3457"/>
    <w:rsid w:val="4CAF57B3"/>
    <w:rsid w:val="4CD82614"/>
    <w:rsid w:val="4CEA67EB"/>
    <w:rsid w:val="4CF124C7"/>
    <w:rsid w:val="4CF70170"/>
    <w:rsid w:val="4CF907DC"/>
    <w:rsid w:val="4CFA619E"/>
    <w:rsid w:val="4CFD777A"/>
    <w:rsid w:val="4D043409"/>
    <w:rsid w:val="4D201110"/>
    <w:rsid w:val="4D3431C7"/>
    <w:rsid w:val="4D526F59"/>
    <w:rsid w:val="4D650150"/>
    <w:rsid w:val="4D7F0CE1"/>
    <w:rsid w:val="4D981DA3"/>
    <w:rsid w:val="4D9A5B1B"/>
    <w:rsid w:val="4D9C7AE5"/>
    <w:rsid w:val="4DA229B3"/>
    <w:rsid w:val="4DB35F12"/>
    <w:rsid w:val="4DE03AC2"/>
    <w:rsid w:val="4DEF02BD"/>
    <w:rsid w:val="4DFB0EC4"/>
    <w:rsid w:val="4E0336C0"/>
    <w:rsid w:val="4E0D72D8"/>
    <w:rsid w:val="4E125FF9"/>
    <w:rsid w:val="4E214868"/>
    <w:rsid w:val="4E274307"/>
    <w:rsid w:val="4E383ED6"/>
    <w:rsid w:val="4E3B5C73"/>
    <w:rsid w:val="4E560D60"/>
    <w:rsid w:val="4E564593"/>
    <w:rsid w:val="4E703F51"/>
    <w:rsid w:val="4E802F63"/>
    <w:rsid w:val="4E8A5B90"/>
    <w:rsid w:val="4E942C0A"/>
    <w:rsid w:val="4E98220D"/>
    <w:rsid w:val="4EA67471"/>
    <w:rsid w:val="4EB7399D"/>
    <w:rsid w:val="4EB96475"/>
    <w:rsid w:val="4EC372F3"/>
    <w:rsid w:val="4ECD2716"/>
    <w:rsid w:val="4ED35788"/>
    <w:rsid w:val="4EE73AF5"/>
    <w:rsid w:val="4EE84EA5"/>
    <w:rsid w:val="4EEE4AF5"/>
    <w:rsid w:val="4F0B544D"/>
    <w:rsid w:val="4F0C0C9A"/>
    <w:rsid w:val="4F165675"/>
    <w:rsid w:val="4F301FB1"/>
    <w:rsid w:val="4F473A81"/>
    <w:rsid w:val="4F4F7329"/>
    <w:rsid w:val="4F5260B5"/>
    <w:rsid w:val="4F5543EF"/>
    <w:rsid w:val="4F56624C"/>
    <w:rsid w:val="4F58224C"/>
    <w:rsid w:val="4F5A7FFE"/>
    <w:rsid w:val="4F5B752C"/>
    <w:rsid w:val="4F5F701C"/>
    <w:rsid w:val="4F846A83"/>
    <w:rsid w:val="4F8B2726"/>
    <w:rsid w:val="4F8B4457"/>
    <w:rsid w:val="4FA41146"/>
    <w:rsid w:val="4FA90297"/>
    <w:rsid w:val="4FD80B7D"/>
    <w:rsid w:val="4FDA01F8"/>
    <w:rsid w:val="4FE561E5"/>
    <w:rsid w:val="4FF221C3"/>
    <w:rsid w:val="4FF27E90"/>
    <w:rsid w:val="4FF5172F"/>
    <w:rsid w:val="4FFA0634"/>
    <w:rsid w:val="500032A2"/>
    <w:rsid w:val="50146059"/>
    <w:rsid w:val="504E08AD"/>
    <w:rsid w:val="50575F45"/>
    <w:rsid w:val="505C4D01"/>
    <w:rsid w:val="506F4A92"/>
    <w:rsid w:val="507419FE"/>
    <w:rsid w:val="507C1E50"/>
    <w:rsid w:val="508B1CA1"/>
    <w:rsid w:val="50901457"/>
    <w:rsid w:val="509E5922"/>
    <w:rsid w:val="50A54F03"/>
    <w:rsid w:val="50AA168D"/>
    <w:rsid w:val="50AF4B30"/>
    <w:rsid w:val="50BC5CDC"/>
    <w:rsid w:val="50CA2BBB"/>
    <w:rsid w:val="50E74C38"/>
    <w:rsid w:val="50FC089B"/>
    <w:rsid w:val="50FD0D89"/>
    <w:rsid w:val="50FE2865"/>
    <w:rsid w:val="51024103"/>
    <w:rsid w:val="51025571"/>
    <w:rsid w:val="51071719"/>
    <w:rsid w:val="510819A0"/>
    <w:rsid w:val="51200E5F"/>
    <w:rsid w:val="5123009E"/>
    <w:rsid w:val="512C2CA7"/>
    <w:rsid w:val="512D289E"/>
    <w:rsid w:val="514152FB"/>
    <w:rsid w:val="51434ED1"/>
    <w:rsid w:val="514D0397"/>
    <w:rsid w:val="51595CED"/>
    <w:rsid w:val="516445A0"/>
    <w:rsid w:val="518956A9"/>
    <w:rsid w:val="51E101BC"/>
    <w:rsid w:val="521D4F6D"/>
    <w:rsid w:val="523A416D"/>
    <w:rsid w:val="52490C2A"/>
    <w:rsid w:val="5253273C"/>
    <w:rsid w:val="525505B5"/>
    <w:rsid w:val="5261544F"/>
    <w:rsid w:val="529414C0"/>
    <w:rsid w:val="52A01E26"/>
    <w:rsid w:val="52A52223"/>
    <w:rsid w:val="52B97CAE"/>
    <w:rsid w:val="52C504FB"/>
    <w:rsid w:val="52DC6BD6"/>
    <w:rsid w:val="52E13756"/>
    <w:rsid w:val="52E65840"/>
    <w:rsid w:val="52EF5C2D"/>
    <w:rsid w:val="52EF6909"/>
    <w:rsid w:val="52F47582"/>
    <w:rsid w:val="5311687F"/>
    <w:rsid w:val="531E71EE"/>
    <w:rsid w:val="5322283B"/>
    <w:rsid w:val="53230361"/>
    <w:rsid w:val="536270DB"/>
    <w:rsid w:val="5371534A"/>
    <w:rsid w:val="53720C63"/>
    <w:rsid w:val="53764934"/>
    <w:rsid w:val="537700D3"/>
    <w:rsid w:val="537A4622"/>
    <w:rsid w:val="53811681"/>
    <w:rsid w:val="538A520F"/>
    <w:rsid w:val="53933E3F"/>
    <w:rsid w:val="53AC4A7F"/>
    <w:rsid w:val="53B418CC"/>
    <w:rsid w:val="53F32910"/>
    <w:rsid w:val="53F4098D"/>
    <w:rsid w:val="53FC3AD9"/>
    <w:rsid w:val="53FE04C8"/>
    <w:rsid w:val="54206BE2"/>
    <w:rsid w:val="54297BB6"/>
    <w:rsid w:val="542B571F"/>
    <w:rsid w:val="54336DD4"/>
    <w:rsid w:val="543660C2"/>
    <w:rsid w:val="54375971"/>
    <w:rsid w:val="54453F00"/>
    <w:rsid w:val="544D196D"/>
    <w:rsid w:val="54723C7D"/>
    <w:rsid w:val="5478326E"/>
    <w:rsid w:val="547F6951"/>
    <w:rsid w:val="54854CE2"/>
    <w:rsid w:val="548965FC"/>
    <w:rsid w:val="548E5CAE"/>
    <w:rsid w:val="54905064"/>
    <w:rsid w:val="54931516"/>
    <w:rsid w:val="549F015A"/>
    <w:rsid w:val="54AF503F"/>
    <w:rsid w:val="54B25E40"/>
    <w:rsid w:val="54D730B0"/>
    <w:rsid w:val="54E812EA"/>
    <w:rsid w:val="54F76B5C"/>
    <w:rsid w:val="55020A87"/>
    <w:rsid w:val="550341FE"/>
    <w:rsid w:val="55042014"/>
    <w:rsid w:val="55210479"/>
    <w:rsid w:val="552A209A"/>
    <w:rsid w:val="55393BB8"/>
    <w:rsid w:val="55517407"/>
    <w:rsid w:val="55614C5E"/>
    <w:rsid w:val="556C5FEF"/>
    <w:rsid w:val="5572737D"/>
    <w:rsid w:val="55823A64"/>
    <w:rsid w:val="558C2621"/>
    <w:rsid w:val="55AD3652"/>
    <w:rsid w:val="55B9606B"/>
    <w:rsid w:val="55DE0E54"/>
    <w:rsid w:val="55EE4C56"/>
    <w:rsid w:val="55FF52A6"/>
    <w:rsid w:val="5633198E"/>
    <w:rsid w:val="563E5469"/>
    <w:rsid w:val="565A053D"/>
    <w:rsid w:val="566919C6"/>
    <w:rsid w:val="566C5546"/>
    <w:rsid w:val="56745BC9"/>
    <w:rsid w:val="568832FC"/>
    <w:rsid w:val="56907775"/>
    <w:rsid w:val="56C1236A"/>
    <w:rsid w:val="56CD56FA"/>
    <w:rsid w:val="56CF2CF8"/>
    <w:rsid w:val="56E34EAC"/>
    <w:rsid w:val="57016C0B"/>
    <w:rsid w:val="570203D1"/>
    <w:rsid w:val="571159E3"/>
    <w:rsid w:val="571D3ABE"/>
    <w:rsid w:val="571F6B78"/>
    <w:rsid w:val="57340D8E"/>
    <w:rsid w:val="57452F9B"/>
    <w:rsid w:val="57645BA3"/>
    <w:rsid w:val="576A1B6C"/>
    <w:rsid w:val="57805D82"/>
    <w:rsid w:val="579001D7"/>
    <w:rsid w:val="57936854"/>
    <w:rsid w:val="579848F6"/>
    <w:rsid w:val="57A22474"/>
    <w:rsid w:val="57AF0A2B"/>
    <w:rsid w:val="57C43A36"/>
    <w:rsid w:val="57F62116"/>
    <w:rsid w:val="580746F5"/>
    <w:rsid w:val="58101705"/>
    <w:rsid w:val="58335AD6"/>
    <w:rsid w:val="58346B6C"/>
    <w:rsid w:val="584265A5"/>
    <w:rsid w:val="58564D34"/>
    <w:rsid w:val="58707FAE"/>
    <w:rsid w:val="58733B38"/>
    <w:rsid w:val="58801DB1"/>
    <w:rsid w:val="58895B35"/>
    <w:rsid w:val="58906498"/>
    <w:rsid w:val="58C83D7C"/>
    <w:rsid w:val="58E7744A"/>
    <w:rsid w:val="59012EF2"/>
    <w:rsid w:val="5909370D"/>
    <w:rsid w:val="590D48EB"/>
    <w:rsid w:val="59495353"/>
    <w:rsid w:val="594B0611"/>
    <w:rsid w:val="594D4389"/>
    <w:rsid w:val="595D2922"/>
    <w:rsid w:val="59634E7E"/>
    <w:rsid w:val="597265E6"/>
    <w:rsid w:val="59943D66"/>
    <w:rsid w:val="5996188C"/>
    <w:rsid w:val="59A85569"/>
    <w:rsid w:val="59A90DF6"/>
    <w:rsid w:val="59B8686F"/>
    <w:rsid w:val="59B86AAB"/>
    <w:rsid w:val="59BF5B8E"/>
    <w:rsid w:val="59D027D3"/>
    <w:rsid w:val="59DE0C7A"/>
    <w:rsid w:val="59F04D56"/>
    <w:rsid w:val="59FD5DAF"/>
    <w:rsid w:val="5A125C89"/>
    <w:rsid w:val="5A417D7A"/>
    <w:rsid w:val="5A4C2893"/>
    <w:rsid w:val="5A4F7A61"/>
    <w:rsid w:val="5A6279C1"/>
    <w:rsid w:val="5A690D4F"/>
    <w:rsid w:val="5A77291D"/>
    <w:rsid w:val="5A852ECF"/>
    <w:rsid w:val="5A9C1659"/>
    <w:rsid w:val="5AA026B8"/>
    <w:rsid w:val="5AA116D7"/>
    <w:rsid w:val="5AAC7C87"/>
    <w:rsid w:val="5AB26B9A"/>
    <w:rsid w:val="5ADA1FF9"/>
    <w:rsid w:val="5AE821DA"/>
    <w:rsid w:val="5AED557F"/>
    <w:rsid w:val="5AF20641"/>
    <w:rsid w:val="5AFD1904"/>
    <w:rsid w:val="5B1552F3"/>
    <w:rsid w:val="5B2B4256"/>
    <w:rsid w:val="5B2C0607"/>
    <w:rsid w:val="5B3034F1"/>
    <w:rsid w:val="5B424CC5"/>
    <w:rsid w:val="5B4672E2"/>
    <w:rsid w:val="5B57504B"/>
    <w:rsid w:val="5B597015"/>
    <w:rsid w:val="5B63362E"/>
    <w:rsid w:val="5B755268"/>
    <w:rsid w:val="5B7B51DE"/>
    <w:rsid w:val="5B88241C"/>
    <w:rsid w:val="5B90055D"/>
    <w:rsid w:val="5B9C2FC5"/>
    <w:rsid w:val="5BA54987"/>
    <w:rsid w:val="5BA65FD3"/>
    <w:rsid w:val="5BC86521"/>
    <w:rsid w:val="5BDC51D2"/>
    <w:rsid w:val="5BDE39BF"/>
    <w:rsid w:val="5C082709"/>
    <w:rsid w:val="5C11169E"/>
    <w:rsid w:val="5C14060C"/>
    <w:rsid w:val="5C180F45"/>
    <w:rsid w:val="5C182A2D"/>
    <w:rsid w:val="5C2E582C"/>
    <w:rsid w:val="5C4C1E77"/>
    <w:rsid w:val="5C7639BC"/>
    <w:rsid w:val="5C981DBF"/>
    <w:rsid w:val="5CA13925"/>
    <w:rsid w:val="5CBC5AAE"/>
    <w:rsid w:val="5CD12F06"/>
    <w:rsid w:val="5CD85C43"/>
    <w:rsid w:val="5CF7084F"/>
    <w:rsid w:val="5D02548B"/>
    <w:rsid w:val="5D0273FA"/>
    <w:rsid w:val="5D147937"/>
    <w:rsid w:val="5D1634FA"/>
    <w:rsid w:val="5D2733FE"/>
    <w:rsid w:val="5D2A0341"/>
    <w:rsid w:val="5D521F6E"/>
    <w:rsid w:val="5D614E5A"/>
    <w:rsid w:val="5D7A4EBD"/>
    <w:rsid w:val="5D7B2AFB"/>
    <w:rsid w:val="5D9D4948"/>
    <w:rsid w:val="5DA07441"/>
    <w:rsid w:val="5DAB5B22"/>
    <w:rsid w:val="5DC34C1A"/>
    <w:rsid w:val="5DC664B8"/>
    <w:rsid w:val="5DCD5EDE"/>
    <w:rsid w:val="5DDB01B6"/>
    <w:rsid w:val="5DDD01B0"/>
    <w:rsid w:val="5DE227D8"/>
    <w:rsid w:val="5DEE4FE1"/>
    <w:rsid w:val="5E040F9B"/>
    <w:rsid w:val="5E163DAD"/>
    <w:rsid w:val="5E18199F"/>
    <w:rsid w:val="5E276BBA"/>
    <w:rsid w:val="5E4A34BA"/>
    <w:rsid w:val="5E5166CA"/>
    <w:rsid w:val="5E572B7B"/>
    <w:rsid w:val="5E622685"/>
    <w:rsid w:val="5E6230CD"/>
    <w:rsid w:val="5E837070"/>
    <w:rsid w:val="5E916EEA"/>
    <w:rsid w:val="5EB629D1"/>
    <w:rsid w:val="5ED929BD"/>
    <w:rsid w:val="5EE004CC"/>
    <w:rsid w:val="5EEF44C3"/>
    <w:rsid w:val="5EF64B87"/>
    <w:rsid w:val="5EFE24CD"/>
    <w:rsid w:val="5F1E02ED"/>
    <w:rsid w:val="5F5335CE"/>
    <w:rsid w:val="5F5F0972"/>
    <w:rsid w:val="5F6123D2"/>
    <w:rsid w:val="5F6E604F"/>
    <w:rsid w:val="5F781A34"/>
    <w:rsid w:val="5F7C6175"/>
    <w:rsid w:val="5F8C113D"/>
    <w:rsid w:val="5F9E149B"/>
    <w:rsid w:val="5F9E76ED"/>
    <w:rsid w:val="5FA55B60"/>
    <w:rsid w:val="5FB55859"/>
    <w:rsid w:val="5FEB2206"/>
    <w:rsid w:val="5FEE6A48"/>
    <w:rsid w:val="6028198E"/>
    <w:rsid w:val="602C2F4B"/>
    <w:rsid w:val="60457B68"/>
    <w:rsid w:val="605C4EB2"/>
    <w:rsid w:val="6060214E"/>
    <w:rsid w:val="6071387E"/>
    <w:rsid w:val="608C5797"/>
    <w:rsid w:val="60932B78"/>
    <w:rsid w:val="60B1182C"/>
    <w:rsid w:val="60B54E5F"/>
    <w:rsid w:val="60B60A66"/>
    <w:rsid w:val="60D67EB5"/>
    <w:rsid w:val="60E72435"/>
    <w:rsid w:val="60F12408"/>
    <w:rsid w:val="60F915AE"/>
    <w:rsid w:val="61085853"/>
    <w:rsid w:val="611834CF"/>
    <w:rsid w:val="61186844"/>
    <w:rsid w:val="61196AEE"/>
    <w:rsid w:val="611D2893"/>
    <w:rsid w:val="612015DC"/>
    <w:rsid w:val="6138147B"/>
    <w:rsid w:val="613D3456"/>
    <w:rsid w:val="61482832"/>
    <w:rsid w:val="615C785F"/>
    <w:rsid w:val="6161246C"/>
    <w:rsid w:val="61742A83"/>
    <w:rsid w:val="617901B4"/>
    <w:rsid w:val="617A09D3"/>
    <w:rsid w:val="617A6407"/>
    <w:rsid w:val="617E2BD9"/>
    <w:rsid w:val="619C7C5C"/>
    <w:rsid w:val="61A66D2D"/>
    <w:rsid w:val="61A92379"/>
    <w:rsid w:val="61AB7F4F"/>
    <w:rsid w:val="61BA27D8"/>
    <w:rsid w:val="61BC7327"/>
    <w:rsid w:val="61D513C0"/>
    <w:rsid w:val="61F12BA4"/>
    <w:rsid w:val="61FC795F"/>
    <w:rsid w:val="62035F2D"/>
    <w:rsid w:val="62265778"/>
    <w:rsid w:val="622A0453"/>
    <w:rsid w:val="62347E94"/>
    <w:rsid w:val="62554D7B"/>
    <w:rsid w:val="62782477"/>
    <w:rsid w:val="62870321"/>
    <w:rsid w:val="6287090C"/>
    <w:rsid w:val="62892F39"/>
    <w:rsid w:val="62A52639"/>
    <w:rsid w:val="62AE5E99"/>
    <w:rsid w:val="62C313EC"/>
    <w:rsid w:val="62C751AC"/>
    <w:rsid w:val="62D2532D"/>
    <w:rsid w:val="62D32926"/>
    <w:rsid w:val="62E775FD"/>
    <w:rsid w:val="62EB1C80"/>
    <w:rsid w:val="62F11E84"/>
    <w:rsid w:val="6306529F"/>
    <w:rsid w:val="631D7704"/>
    <w:rsid w:val="63224191"/>
    <w:rsid w:val="632B7CB6"/>
    <w:rsid w:val="632C5010"/>
    <w:rsid w:val="632D6A8C"/>
    <w:rsid w:val="63326075"/>
    <w:rsid w:val="63577595"/>
    <w:rsid w:val="63666773"/>
    <w:rsid w:val="636D1281"/>
    <w:rsid w:val="63921C8F"/>
    <w:rsid w:val="63974B7F"/>
    <w:rsid w:val="639F7B81"/>
    <w:rsid w:val="63A252D2"/>
    <w:rsid w:val="63B56648"/>
    <w:rsid w:val="63BE7F46"/>
    <w:rsid w:val="63C546CA"/>
    <w:rsid w:val="63D43500"/>
    <w:rsid w:val="63E36016"/>
    <w:rsid w:val="64177A6E"/>
    <w:rsid w:val="64191A38"/>
    <w:rsid w:val="64463885"/>
    <w:rsid w:val="6468651B"/>
    <w:rsid w:val="646C6942"/>
    <w:rsid w:val="64754C21"/>
    <w:rsid w:val="648101EB"/>
    <w:rsid w:val="648F5856"/>
    <w:rsid w:val="64966BE4"/>
    <w:rsid w:val="64C649E5"/>
    <w:rsid w:val="64C971FC"/>
    <w:rsid w:val="64D17A33"/>
    <w:rsid w:val="64E536C8"/>
    <w:rsid w:val="6507446B"/>
    <w:rsid w:val="651F176C"/>
    <w:rsid w:val="651F307E"/>
    <w:rsid w:val="65243799"/>
    <w:rsid w:val="653730AD"/>
    <w:rsid w:val="65473BE4"/>
    <w:rsid w:val="654823B1"/>
    <w:rsid w:val="65670581"/>
    <w:rsid w:val="656E5DB3"/>
    <w:rsid w:val="65835BB3"/>
    <w:rsid w:val="658B7760"/>
    <w:rsid w:val="659514FA"/>
    <w:rsid w:val="65A71B0C"/>
    <w:rsid w:val="65AC2438"/>
    <w:rsid w:val="65B4203E"/>
    <w:rsid w:val="65BE6761"/>
    <w:rsid w:val="65C562C1"/>
    <w:rsid w:val="65DA30E2"/>
    <w:rsid w:val="65DC0944"/>
    <w:rsid w:val="65EB1B83"/>
    <w:rsid w:val="65EE7177"/>
    <w:rsid w:val="65FC3D56"/>
    <w:rsid w:val="660A61FF"/>
    <w:rsid w:val="6635457B"/>
    <w:rsid w:val="663B78CC"/>
    <w:rsid w:val="665E1984"/>
    <w:rsid w:val="66645598"/>
    <w:rsid w:val="66713242"/>
    <w:rsid w:val="66A57E71"/>
    <w:rsid w:val="66B75538"/>
    <w:rsid w:val="66BD4460"/>
    <w:rsid w:val="66C7577B"/>
    <w:rsid w:val="66D47A94"/>
    <w:rsid w:val="66E4759D"/>
    <w:rsid w:val="674B4F4A"/>
    <w:rsid w:val="674E19F8"/>
    <w:rsid w:val="67656D42"/>
    <w:rsid w:val="676A3DA6"/>
    <w:rsid w:val="676C1E7F"/>
    <w:rsid w:val="67773A51"/>
    <w:rsid w:val="679805D8"/>
    <w:rsid w:val="67BC3FEE"/>
    <w:rsid w:val="67CA7544"/>
    <w:rsid w:val="67D35A63"/>
    <w:rsid w:val="67D477F8"/>
    <w:rsid w:val="67F24A7A"/>
    <w:rsid w:val="67F325A0"/>
    <w:rsid w:val="67FF7C3A"/>
    <w:rsid w:val="68016A6B"/>
    <w:rsid w:val="680B5C35"/>
    <w:rsid w:val="6829477F"/>
    <w:rsid w:val="682F4FA9"/>
    <w:rsid w:val="68310698"/>
    <w:rsid w:val="68323C50"/>
    <w:rsid w:val="68376A2A"/>
    <w:rsid w:val="685A617B"/>
    <w:rsid w:val="686332F5"/>
    <w:rsid w:val="68646588"/>
    <w:rsid w:val="686E1C26"/>
    <w:rsid w:val="688232C2"/>
    <w:rsid w:val="68843A78"/>
    <w:rsid w:val="68996CA3"/>
    <w:rsid w:val="689F0599"/>
    <w:rsid w:val="68B43376"/>
    <w:rsid w:val="68B7537B"/>
    <w:rsid w:val="68DC3034"/>
    <w:rsid w:val="68DC4DE2"/>
    <w:rsid w:val="68F053F6"/>
    <w:rsid w:val="68F14D31"/>
    <w:rsid w:val="68F43A1E"/>
    <w:rsid w:val="69085BD7"/>
    <w:rsid w:val="69145603"/>
    <w:rsid w:val="692A1FF1"/>
    <w:rsid w:val="69423186"/>
    <w:rsid w:val="69432BE1"/>
    <w:rsid w:val="694D728A"/>
    <w:rsid w:val="69594684"/>
    <w:rsid w:val="697F233D"/>
    <w:rsid w:val="6988057F"/>
    <w:rsid w:val="699906A2"/>
    <w:rsid w:val="69A973BA"/>
    <w:rsid w:val="69AC12C2"/>
    <w:rsid w:val="69C40A40"/>
    <w:rsid w:val="69C411D0"/>
    <w:rsid w:val="69C62FFA"/>
    <w:rsid w:val="69D16911"/>
    <w:rsid w:val="69D501AF"/>
    <w:rsid w:val="69D86C6D"/>
    <w:rsid w:val="69E4001D"/>
    <w:rsid w:val="69FA48D7"/>
    <w:rsid w:val="69FF347E"/>
    <w:rsid w:val="6A0D6DC9"/>
    <w:rsid w:val="6A2B6021"/>
    <w:rsid w:val="6A4A19BA"/>
    <w:rsid w:val="6A564EBF"/>
    <w:rsid w:val="6A645FFB"/>
    <w:rsid w:val="6A6A2D90"/>
    <w:rsid w:val="6A701056"/>
    <w:rsid w:val="6A7A24EF"/>
    <w:rsid w:val="6A7E361E"/>
    <w:rsid w:val="6A9A2282"/>
    <w:rsid w:val="6ABB292C"/>
    <w:rsid w:val="6AC46CE5"/>
    <w:rsid w:val="6ACD0D45"/>
    <w:rsid w:val="6ACF10A2"/>
    <w:rsid w:val="6AE82164"/>
    <w:rsid w:val="6AEA4CF9"/>
    <w:rsid w:val="6AEA7C8A"/>
    <w:rsid w:val="6AF1726A"/>
    <w:rsid w:val="6AFE0C80"/>
    <w:rsid w:val="6B144D07"/>
    <w:rsid w:val="6B2A0779"/>
    <w:rsid w:val="6B2B1D80"/>
    <w:rsid w:val="6B3D3548"/>
    <w:rsid w:val="6B664EB6"/>
    <w:rsid w:val="6B841E8D"/>
    <w:rsid w:val="6BA87D31"/>
    <w:rsid w:val="6BB72998"/>
    <w:rsid w:val="6BBC73BD"/>
    <w:rsid w:val="6BC066B1"/>
    <w:rsid w:val="6BC8789F"/>
    <w:rsid w:val="6BEE37AA"/>
    <w:rsid w:val="6C0B1660"/>
    <w:rsid w:val="6C164AAF"/>
    <w:rsid w:val="6C256AA0"/>
    <w:rsid w:val="6C2C7E2E"/>
    <w:rsid w:val="6C523D39"/>
    <w:rsid w:val="6C533915"/>
    <w:rsid w:val="6C5506F2"/>
    <w:rsid w:val="6C7F31BE"/>
    <w:rsid w:val="6C8859AD"/>
    <w:rsid w:val="6CD91C0E"/>
    <w:rsid w:val="6CE01353"/>
    <w:rsid w:val="6CEA7AAC"/>
    <w:rsid w:val="6CF00E6E"/>
    <w:rsid w:val="6CF35CFC"/>
    <w:rsid w:val="6CF546C4"/>
    <w:rsid w:val="6CFA25E1"/>
    <w:rsid w:val="6CFE5C6F"/>
    <w:rsid w:val="6D2553A0"/>
    <w:rsid w:val="6D3F29A1"/>
    <w:rsid w:val="6D651DF3"/>
    <w:rsid w:val="6D6A3304"/>
    <w:rsid w:val="6D8D0DA1"/>
    <w:rsid w:val="6D995916"/>
    <w:rsid w:val="6D9E263C"/>
    <w:rsid w:val="6DB8406F"/>
    <w:rsid w:val="6DC26C9C"/>
    <w:rsid w:val="6DD658EE"/>
    <w:rsid w:val="6DD864C0"/>
    <w:rsid w:val="6DDD6E36"/>
    <w:rsid w:val="6DEC1C21"/>
    <w:rsid w:val="6E152319"/>
    <w:rsid w:val="6E3B0BAF"/>
    <w:rsid w:val="6E3E0629"/>
    <w:rsid w:val="6E45554E"/>
    <w:rsid w:val="6E501AEB"/>
    <w:rsid w:val="6E5E5CA6"/>
    <w:rsid w:val="6E7C11B5"/>
    <w:rsid w:val="6E7C32EF"/>
    <w:rsid w:val="6E7F556F"/>
    <w:rsid w:val="6E997C25"/>
    <w:rsid w:val="6E9F07E1"/>
    <w:rsid w:val="6EA14A30"/>
    <w:rsid w:val="6EA42846"/>
    <w:rsid w:val="6EB6105A"/>
    <w:rsid w:val="6EBA00D3"/>
    <w:rsid w:val="6EBD1212"/>
    <w:rsid w:val="6EC629FF"/>
    <w:rsid w:val="6EC7282F"/>
    <w:rsid w:val="6EC922AC"/>
    <w:rsid w:val="6ED21161"/>
    <w:rsid w:val="6F04413C"/>
    <w:rsid w:val="6F1C104C"/>
    <w:rsid w:val="6F255735"/>
    <w:rsid w:val="6F26499B"/>
    <w:rsid w:val="6F2F3282"/>
    <w:rsid w:val="6F35524C"/>
    <w:rsid w:val="6F467459"/>
    <w:rsid w:val="6F587A8E"/>
    <w:rsid w:val="6F5A7044"/>
    <w:rsid w:val="6F5D5506"/>
    <w:rsid w:val="6F600C59"/>
    <w:rsid w:val="6F7E2770"/>
    <w:rsid w:val="6F7F4719"/>
    <w:rsid w:val="6F800BBD"/>
    <w:rsid w:val="6F8776A7"/>
    <w:rsid w:val="6F8B4A66"/>
    <w:rsid w:val="6F957D21"/>
    <w:rsid w:val="6FA57C2A"/>
    <w:rsid w:val="6FC8405E"/>
    <w:rsid w:val="6FD175F7"/>
    <w:rsid w:val="6FD26F3F"/>
    <w:rsid w:val="6FD95378"/>
    <w:rsid w:val="6FEA24DA"/>
    <w:rsid w:val="6FF23B80"/>
    <w:rsid w:val="6FF670D1"/>
    <w:rsid w:val="70180DF5"/>
    <w:rsid w:val="701B6B38"/>
    <w:rsid w:val="703C1CAA"/>
    <w:rsid w:val="703E1108"/>
    <w:rsid w:val="704B7EBD"/>
    <w:rsid w:val="705B0CE2"/>
    <w:rsid w:val="7073427E"/>
    <w:rsid w:val="707F7FC1"/>
    <w:rsid w:val="70830694"/>
    <w:rsid w:val="7092075C"/>
    <w:rsid w:val="70AF49AD"/>
    <w:rsid w:val="70E234A9"/>
    <w:rsid w:val="70F257E2"/>
    <w:rsid w:val="712D7A96"/>
    <w:rsid w:val="71334F8E"/>
    <w:rsid w:val="713C2BF3"/>
    <w:rsid w:val="713F6856"/>
    <w:rsid w:val="71526589"/>
    <w:rsid w:val="715517E0"/>
    <w:rsid w:val="71682CDB"/>
    <w:rsid w:val="717C301D"/>
    <w:rsid w:val="718B55F7"/>
    <w:rsid w:val="719E17CE"/>
    <w:rsid w:val="71AC3CA8"/>
    <w:rsid w:val="71E67530"/>
    <w:rsid w:val="71F27DA7"/>
    <w:rsid w:val="71F552A8"/>
    <w:rsid w:val="71FB09CF"/>
    <w:rsid w:val="71FD3369"/>
    <w:rsid w:val="7208350E"/>
    <w:rsid w:val="72264502"/>
    <w:rsid w:val="72332BB4"/>
    <w:rsid w:val="723358B2"/>
    <w:rsid w:val="72363B93"/>
    <w:rsid w:val="72366F69"/>
    <w:rsid w:val="72534367"/>
    <w:rsid w:val="72546CCC"/>
    <w:rsid w:val="72571A57"/>
    <w:rsid w:val="72981E43"/>
    <w:rsid w:val="729D3834"/>
    <w:rsid w:val="729F57FE"/>
    <w:rsid w:val="72A66B8C"/>
    <w:rsid w:val="72AD5CE4"/>
    <w:rsid w:val="72BB344D"/>
    <w:rsid w:val="72BD396A"/>
    <w:rsid w:val="72EA334F"/>
    <w:rsid w:val="72ED47BB"/>
    <w:rsid w:val="730B241D"/>
    <w:rsid w:val="7325797A"/>
    <w:rsid w:val="734C24BD"/>
    <w:rsid w:val="734D525A"/>
    <w:rsid w:val="7357002D"/>
    <w:rsid w:val="73576104"/>
    <w:rsid w:val="7358775B"/>
    <w:rsid w:val="737A3B75"/>
    <w:rsid w:val="73815738"/>
    <w:rsid w:val="738B18DE"/>
    <w:rsid w:val="739F3A97"/>
    <w:rsid w:val="73AF1694"/>
    <w:rsid w:val="73B673EF"/>
    <w:rsid w:val="73BC5F3C"/>
    <w:rsid w:val="73F02366"/>
    <w:rsid w:val="7419338E"/>
    <w:rsid w:val="742254DD"/>
    <w:rsid w:val="7437180D"/>
    <w:rsid w:val="74391D4B"/>
    <w:rsid w:val="74483CFE"/>
    <w:rsid w:val="744B0DA7"/>
    <w:rsid w:val="744D3074"/>
    <w:rsid w:val="74624CC6"/>
    <w:rsid w:val="746A5AD3"/>
    <w:rsid w:val="74723306"/>
    <w:rsid w:val="747A2CC8"/>
    <w:rsid w:val="747F3641"/>
    <w:rsid w:val="74B579B7"/>
    <w:rsid w:val="74B9011A"/>
    <w:rsid w:val="74BB7061"/>
    <w:rsid w:val="74BD640F"/>
    <w:rsid w:val="74CE3EB2"/>
    <w:rsid w:val="74E0065A"/>
    <w:rsid w:val="74E82D21"/>
    <w:rsid w:val="74EF5E2E"/>
    <w:rsid w:val="74F82FA3"/>
    <w:rsid w:val="750E03C1"/>
    <w:rsid w:val="751C6251"/>
    <w:rsid w:val="751E470B"/>
    <w:rsid w:val="753D7B6A"/>
    <w:rsid w:val="754026A2"/>
    <w:rsid w:val="75404391"/>
    <w:rsid w:val="754226B0"/>
    <w:rsid w:val="75662603"/>
    <w:rsid w:val="75670772"/>
    <w:rsid w:val="757A60AE"/>
    <w:rsid w:val="757C44C8"/>
    <w:rsid w:val="759A09C5"/>
    <w:rsid w:val="75A6427E"/>
    <w:rsid w:val="75B243A7"/>
    <w:rsid w:val="75CA0DE4"/>
    <w:rsid w:val="75DE6DB1"/>
    <w:rsid w:val="75E1612D"/>
    <w:rsid w:val="75E572CF"/>
    <w:rsid w:val="75FB07A2"/>
    <w:rsid w:val="761375E4"/>
    <w:rsid w:val="7621477C"/>
    <w:rsid w:val="76217478"/>
    <w:rsid w:val="763C572C"/>
    <w:rsid w:val="765608C9"/>
    <w:rsid w:val="7666354F"/>
    <w:rsid w:val="766B6ECD"/>
    <w:rsid w:val="7677263E"/>
    <w:rsid w:val="76855EB9"/>
    <w:rsid w:val="768A26FB"/>
    <w:rsid w:val="7692691E"/>
    <w:rsid w:val="76996365"/>
    <w:rsid w:val="769A10D0"/>
    <w:rsid w:val="76A07D97"/>
    <w:rsid w:val="76C2349E"/>
    <w:rsid w:val="76CB35EC"/>
    <w:rsid w:val="76CE66B2"/>
    <w:rsid w:val="76D054CE"/>
    <w:rsid w:val="77040C67"/>
    <w:rsid w:val="770B16B4"/>
    <w:rsid w:val="77112A42"/>
    <w:rsid w:val="77167266"/>
    <w:rsid w:val="77260AF8"/>
    <w:rsid w:val="773B587C"/>
    <w:rsid w:val="774271F2"/>
    <w:rsid w:val="77453760"/>
    <w:rsid w:val="774845AD"/>
    <w:rsid w:val="774E4E52"/>
    <w:rsid w:val="77653D55"/>
    <w:rsid w:val="776A7D9F"/>
    <w:rsid w:val="77734AD9"/>
    <w:rsid w:val="77767106"/>
    <w:rsid w:val="777C7EBC"/>
    <w:rsid w:val="778B45A3"/>
    <w:rsid w:val="77A25449"/>
    <w:rsid w:val="77AB2363"/>
    <w:rsid w:val="77F3466D"/>
    <w:rsid w:val="780127F5"/>
    <w:rsid w:val="78047EB1"/>
    <w:rsid w:val="7822274B"/>
    <w:rsid w:val="7840608D"/>
    <w:rsid w:val="78494C44"/>
    <w:rsid w:val="78594455"/>
    <w:rsid w:val="78786AB3"/>
    <w:rsid w:val="78882890"/>
    <w:rsid w:val="78911745"/>
    <w:rsid w:val="78955947"/>
    <w:rsid w:val="78AA588F"/>
    <w:rsid w:val="78B065B0"/>
    <w:rsid w:val="78B83176"/>
    <w:rsid w:val="78BB7662"/>
    <w:rsid w:val="78C33E4A"/>
    <w:rsid w:val="7901119D"/>
    <w:rsid w:val="790D3EA5"/>
    <w:rsid w:val="791B2495"/>
    <w:rsid w:val="791D2A50"/>
    <w:rsid w:val="79366F18"/>
    <w:rsid w:val="79393B8B"/>
    <w:rsid w:val="79432736"/>
    <w:rsid w:val="794C7D62"/>
    <w:rsid w:val="795B1D53"/>
    <w:rsid w:val="79660E81"/>
    <w:rsid w:val="797940FE"/>
    <w:rsid w:val="79813945"/>
    <w:rsid w:val="79AA4A14"/>
    <w:rsid w:val="79B17BC5"/>
    <w:rsid w:val="79B63FC9"/>
    <w:rsid w:val="79DE02DD"/>
    <w:rsid w:val="79E07E40"/>
    <w:rsid w:val="79EB5D1B"/>
    <w:rsid w:val="79F71A7C"/>
    <w:rsid w:val="79FC52E4"/>
    <w:rsid w:val="79FC6182"/>
    <w:rsid w:val="79FD2E0A"/>
    <w:rsid w:val="7A0A6F4F"/>
    <w:rsid w:val="7A1A1C0E"/>
    <w:rsid w:val="7A1B0D74"/>
    <w:rsid w:val="7A41363F"/>
    <w:rsid w:val="7A456F6D"/>
    <w:rsid w:val="7A5F16CA"/>
    <w:rsid w:val="7A710D8E"/>
    <w:rsid w:val="7AAA2F92"/>
    <w:rsid w:val="7AB1300F"/>
    <w:rsid w:val="7AB64E52"/>
    <w:rsid w:val="7ADA0EA4"/>
    <w:rsid w:val="7AE75FBC"/>
    <w:rsid w:val="7AFC56DC"/>
    <w:rsid w:val="7AFE508C"/>
    <w:rsid w:val="7B073F40"/>
    <w:rsid w:val="7B0D3216"/>
    <w:rsid w:val="7B345398"/>
    <w:rsid w:val="7B355131"/>
    <w:rsid w:val="7B4F7695"/>
    <w:rsid w:val="7B590C27"/>
    <w:rsid w:val="7B615D46"/>
    <w:rsid w:val="7B6C5EAB"/>
    <w:rsid w:val="7B7814A8"/>
    <w:rsid w:val="7B861DF2"/>
    <w:rsid w:val="7BA33013"/>
    <w:rsid w:val="7BD209F2"/>
    <w:rsid w:val="7BF702E8"/>
    <w:rsid w:val="7BFA0FA5"/>
    <w:rsid w:val="7BFE2BF5"/>
    <w:rsid w:val="7C0B3F04"/>
    <w:rsid w:val="7C134B67"/>
    <w:rsid w:val="7C162A9E"/>
    <w:rsid w:val="7C177BEA"/>
    <w:rsid w:val="7C1903CF"/>
    <w:rsid w:val="7C1D1542"/>
    <w:rsid w:val="7C206AB7"/>
    <w:rsid w:val="7C8646F6"/>
    <w:rsid w:val="7C876A78"/>
    <w:rsid w:val="7C9B46D0"/>
    <w:rsid w:val="7CA3413D"/>
    <w:rsid w:val="7CA95B93"/>
    <w:rsid w:val="7CBC0850"/>
    <w:rsid w:val="7CD3681B"/>
    <w:rsid w:val="7CD9190C"/>
    <w:rsid w:val="7CD97B5E"/>
    <w:rsid w:val="7CF20DD2"/>
    <w:rsid w:val="7CFF7134"/>
    <w:rsid w:val="7D0D49BE"/>
    <w:rsid w:val="7D621902"/>
    <w:rsid w:val="7D8603E2"/>
    <w:rsid w:val="7D9C553A"/>
    <w:rsid w:val="7DC9372F"/>
    <w:rsid w:val="7DD0508B"/>
    <w:rsid w:val="7DE4119D"/>
    <w:rsid w:val="7DEE5B58"/>
    <w:rsid w:val="7E0B1390"/>
    <w:rsid w:val="7E1470DA"/>
    <w:rsid w:val="7E2B13AE"/>
    <w:rsid w:val="7E321DB6"/>
    <w:rsid w:val="7E53749D"/>
    <w:rsid w:val="7E5C45A3"/>
    <w:rsid w:val="7E6B2A38"/>
    <w:rsid w:val="7EA224D8"/>
    <w:rsid w:val="7ED03245"/>
    <w:rsid w:val="7ED25E9B"/>
    <w:rsid w:val="7ED37D6E"/>
    <w:rsid w:val="7F2F7F0A"/>
    <w:rsid w:val="7F7D2EBD"/>
    <w:rsid w:val="7F8846F0"/>
    <w:rsid w:val="7F9D30C5"/>
    <w:rsid w:val="7FA04963"/>
    <w:rsid w:val="7FA73F44"/>
    <w:rsid w:val="7FAD2052"/>
    <w:rsid w:val="7FB0411E"/>
    <w:rsid w:val="7FCA5021"/>
    <w:rsid w:val="7FEA3B6F"/>
    <w:rsid w:val="7FEE5147"/>
    <w:rsid w:val="7FF32CE5"/>
    <w:rsid w:val="BAFFAB79"/>
    <w:rsid w:val="DBEED555"/>
  </w:rsids>
  <m:mathPr>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4">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5">
    <w:name w:val="编号符号"/>
    <w:qFormat/>
    <w:uiPriority w:val="0"/>
  </w:style>
  <w:style w:type="character" w:customStyle="1" w:styleId="16">
    <w:name w:val="页眉 字符"/>
    <w:basedOn w:val="14"/>
    <w:qFormat/>
    <w:uiPriority w:val="0"/>
    <w:rPr>
      <w:rFonts w:ascii="Arial Unicode MS" w:hAnsi="Arial Unicode MS" w:eastAsia="Arial Unicode MS" w:cs="Arial Unicode MS"/>
      <w:sz w:val="18"/>
      <w:szCs w:val="18"/>
      <w:lang w:val="zh-CN" w:bidi="zh-CN"/>
    </w:rPr>
  </w:style>
  <w:style w:type="character" w:customStyle="1" w:styleId="17">
    <w:name w:val="页脚 字符"/>
    <w:basedOn w:val="14"/>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3" Type="http://schemas.openxmlformats.org/officeDocument/2006/relationships/fontTable" Target="fontTable.xml"/><Relationship Id="rId22" Type="http://schemas.openxmlformats.org/officeDocument/2006/relationships/customXml" Target="../customXml/item1.xml"/><Relationship Id="rId21" Type="http://schemas.openxmlformats.org/officeDocument/2006/relationships/image" Target="media/image2.png"/><Relationship Id="rId20" Type="http://schemas.openxmlformats.org/officeDocument/2006/relationships/image" Target="media/image1.png"/><Relationship Id="rId2" Type="http://schemas.openxmlformats.org/officeDocument/2006/relationships/settings" Target="settings.xml"/><Relationship Id="rId19" Type="http://schemas.openxmlformats.org/officeDocument/2006/relationships/theme" Target="theme/theme1.xml"/><Relationship Id="rId18" Type="http://schemas.openxmlformats.org/officeDocument/2006/relationships/footer" Target="footer13.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2757</Words>
  <Characters>7652</Characters>
  <Paragraphs>501</Paragraphs>
  <TotalTime>0</TotalTime>
  <ScaleCrop>false</ScaleCrop>
  <LinksUpToDate>false</LinksUpToDate>
  <CharactersWithSpaces>7672</CharactersWithSpaces>
  <Application>WPS Office_11.8.2.11473_F1E327BC-269C-435d-A152-05C5408002CA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Administrator</cp:lastModifiedBy>
  <dcterms:modified xsi:type="dcterms:W3CDTF">2023-08-31T00:24:16Z</dcterms:modified>
  <dc:title>部门决算公开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688FE106501D46DD850D8D3239AEFB71</vt:lpwstr>
  </property>
  <property fmtid="{D5CDD505-2E9C-101B-9397-08002B2CF9AE}" pid="5" name="KSOProductBuildVer">
    <vt:lpwstr>2052-11.8.2.11473</vt:lpwstr>
  </property>
  <property fmtid="{D5CDD505-2E9C-101B-9397-08002B2CF9AE}" pid="6" name="LastSaved">
    <vt:filetime>2021-04-15T00:00:00Z</vt:filetime>
  </property>
</Properties>
</file>